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03662" w14:textId="77777777" w:rsidR="00EF074B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54B33C92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FB5B8D">
        <w:rPr>
          <w:b/>
          <w:bCs/>
          <w:spacing w:val="100"/>
        </w:rPr>
        <w:t>ELŐTERJESZTÉS</w:t>
      </w:r>
    </w:p>
    <w:p w14:paraId="7B278740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367C96C4" w14:textId="77777777" w:rsidR="00EF074B" w:rsidRPr="00FB5B8D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64B0A20F" w14:textId="77777777" w:rsidR="00EF074B" w:rsidRPr="00FB5B8D" w:rsidRDefault="00EF074B" w:rsidP="00EF074B">
      <w:pPr>
        <w:pStyle w:val="Cmsor2"/>
        <w:ind w:left="0"/>
      </w:pPr>
      <w:r w:rsidRPr="00FB5B8D">
        <w:t xml:space="preserve">Budapest Főváros II. Kerületi Önkormányzat </w:t>
      </w:r>
    </w:p>
    <w:p w14:paraId="674616E1" w14:textId="7905C6CB" w:rsidR="00EF074B" w:rsidRPr="00FB5B8D" w:rsidRDefault="005938A0" w:rsidP="00EF074B">
      <w:pPr>
        <w:jc w:val="center"/>
        <w:rPr>
          <w:b/>
          <w:bCs/>
        </w:rPr>
      </w:pPr>
      <w:r w:rsidRPr="00FB5B8D">
        <w:rPr>
          <w:b/>
          <w:bCs/>
        </w:rPr>
        <w:t xml:space="preserve">Településüzemeltetési, Környezetvédelmi és Közbiztonsági </w:t>
      </w:r>
      <w:r w:rsidR="00EF074B" w:rsidRPr="00FB5B8D">
        <w:rPr>
          <w:b/>
          <w:bCs/>
        </w:rPr>
        <w:t>Bizottság</w:t>
      </w:r>
    </w:p>
    <w:p w14:paraId="6BD13E9A" w14:textId="77777777" w:rsidR="00EF074B" w:rsidRPr="00FB5B8D" w:rsidRDefault="00EF074B" w:rsidP="00EF074B">
      <w:pPr>
        <w:jc w:val="center"/>
        <w:rPr>
          <w:b/>
          <w:bCs/>
        </w:rPr>
      </w:pPr>
    </w:p>
    <w:p w14:paraId="06E89221" w14:textId="0456E826" w:rsidR="00EF074B" w:rsidRPr="00FB5B8D" w:rsidRDefault="008A453C" w:rsidP="00EF074B">
      <w:pPr>
        <w:jc w:val="center"/>
        <w:rPr>
          <w:b/>
          <w:bCs/>
        </w:rPr>
      </w:pPr>
      <w:r w:rsidRPr="00FB5B8D">
        <w:rPr>
          <w:b/>
          <w:bCs/>
        </w:rPr>
        <w:t>202</w:t>
      </w:r>
      <w:r w:rsidR="00AB534C">
        <w:rPr>
          <w:b/>
          <w:bCs/>
        </w:rPr>
        <w:t>4</w:t>
      </w:r>
      <w:r w:rsidRPr="00FB5B8D">
        <w:rPr>
          <w:b/>
          <w:bCs/>
        </w:rPr>
        <w:t>.</w:t>
      </w:r>
      <w:r w:rsidR="00EF074B" w:rsidRPr="00FB5B8D">
        <w:rPr>
          <w:b/>
          <w:bCs/>
        </w:rPr>
        <w:t xml:space="preserve"> </w:t>
      </w:r>
      <w:r w:rsidR="00AB534C">
        <w:rPr>
          <w:b/>
          <w:bCs/>
        </w:rPr>
        <w:t>február</w:t>
      </w:r>
      <w:r w:rsidR="00B07CC3">
        <w:rPr>
          <w:b/>
          <w:bCs/>
        </w:rPr>
        <w:t xml:space="preserve"> </w:t>
      </w:r>
      <w:r w:rsidR="00B83041">
        <w:rPr>
          <w:b/>
          <w:bCs/>
        </w:rPr>
        <w:t>1</w:t>
      </w:r>
      <w:r w:rsidR="00AB534C">
        <w:rPr>
          <w:b/>
          <w:bCs/>
        </w:rPr>
        <w:t>9</w:t>
      </w:r>
      <w:r w:rsidR="00B07CC3">
        <w:rPr>
          <w:b/>
          <w:bCs/>
        </w:rPr>
        <w:t>-i</w:t>
      </w:r>
      <w:r w:rsidR="00EF074B" w:rsidRPr="00FB5B8D">
        <w:rPr>
          <w:b/>
          <w:bCs/>
        </w:rPr>
        <w:t xml:space="preserve"> ülésére</w:t>
      </w:r>
    </w:p>
    <w:p w14:paraId="2DD6D2F4" w14:textId="77777777" w:rsidR="00EF074B" w:rsidRPr="00FB5B8D" w:rsidRDefault="00EF074B" w:rsidP="00EF074B">
      <w:pPr>
        <w:keepLines w:val="0"/>
        <w:spacing w:line="264" w:lineRule="auto"/>
        <w:ind w:right="227"/>
      </w:pPr>
    </w:p>
    <w:p w14:paraId="256797EF" w14:textId="77777777" w:rsidR="00EF074B" w:rsidRPr="00FB5B8D" w:rsidRDefault="00EF074B" w:rsidP="00EF074B">
      <w:pPr>
        <w:keepLines w:val="0"/>
        <w:spacing w:line="264" w:lineRule="auto"/>
        <w:ind w:right="227"/>
      </w:pPr>
      <w:bookmarkStart w:id="0" w:name="_GoBack"/>
      <w:bookmarkEnd w:id="0"/>
    </w:p>
    <w:p w14:paraId="123C75A2" w14:textId="77777777" w:rsidR="00EF074B" w:rsidRPr="00FB5B8D" w:rsidRDefault="00EF074B" w:rsidP="00EF074B">
      <w:pPr>
        <w:keepLines w:val="0"/>
        <w:spacing w:line="264" w:lineRule="auto"/>
        <w:ind w:right="227"/>
        <w:rPr>
          <w:highlight w:val="cyan"/>
        </w:rPr>
      </w:pPr>
    </w:p>
    <w:p w14:paraId="5D8D6B5C" w14:textId="45F05E7C" w:rsidR="00EF074B" w:rsidRPr="00FB5B8D" w:rsidRDefault="00EF074B" w:rsidP="00EF074B">
      <w:pPr>
        <w:jc w:val="right"/>
        <w:rPr>
          <w:highlight w:val="cyan"/>
        </w:rPr>
      </w:pP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86"/>
        <w:gridCol w:w="4252"/>
      </w:tblGrid>
      <w:tr w:rsidR="00FB5B8D" w:rsidRPr="003D21E6" w14:paraId="371C49FB" w14:textId="77777777" w:rsidTr="00665725">
        <w:trPr>
          <w:cantSplit/>
        </w:trPr>
        <w:tc>
          <w:tcPr>
            <w:tcW w:w="1701" w:type="dxa"/>
          </w:tcPr>
          <w:p w14:paraId="22E38F9D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3E256548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3BAB5658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45167086" w14:textId="77777777" w:rsidTr="00665725">
        <w:trPr>
          <w:cantSplit/>
        </w:trPr>
        <w:tc>
          <w:tcPr>
            <w:tcW w:w="1701" w:type="dxa"/>
            <w:hideMark/>
          </w:tcPr>
          <w:p w14:paraId="534EFE1F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  <w:r w:rsidRPr="003D21E6">
              <w:rPr>
                <w:rStyle w:val="Kiemels2"/>
              </w:rPr>
              <w:t>Tárgy</w:t>
            </w:r>
            <w:r w:rsidRPr="003D21E6">
              <w:t>:</w:t>
            </w:r>
          </w:p>
        </w:tc>
        <w:tc>
          <w:tcPr>
            <w:tcW w:w="7938" w:type="dxa"/>
            <w:gridSpan w:val="2"/>
            <w:hideMark/>
          </w:tcPr>
          <w:p w14:paraId="1877C03C" w14:textId="786E9099" w:rsidR="00596B85" w:rsidRPr="00FB5B8D" w:rsidRDefault="00FB5B8D" w:rsidP="00D7709A">
            <w:pPr>
              <w:pStyle w:val="trobekezdes0"/>
            </w:pPr>
            <w:r w:rsidRPr="00FB5B8D">
              <w:t xml:space="preserve">A </w:t>
            </w:r>
            <w:r w:rsidR="00AB534C" w:rsidRPr="00AB534C">
              <w:t>Budapest II. kerület, belterület 14566 hrsz-ú telket érintő, Komjádi Béla utca – Árpád fejedelem útja – Zsigmond tér – Frankel Leó út által határolt területére</w:t>
            </w:r>
            <w:r w:rsidR="00B83041" w:rsidRPr="00B83041">
              <w:t xml:space="preserve"> </w:t>
            </w:r>
            <w:r w:rsidR="00B83041">
              <w:t xml:space="preserve">készülő </w:t>
            </w:r>
            <w:r w:rsidR="00E55F80" w:rsidRPr="00E55F80">
              <w:t xml:space="preserve">Budapest Főváros II. kerületének Építési Szabályzatáról szóló 28/2019.(XI.27.) önkormányzati rendelet </w:t>
            </w:r>
            <w:r w:rsidRPr="00FB5B8D">
              <w:t>módosításhoz a környezeti vizsgálat szükségességének eldöntésére vonatkozó Kerületfejlesztési Bizottsági előterjesztés véleményezése</w:t>
            </w:r>
          </w:p>
        </w:tc>
      </w:tr>
      <w:tr w:rsidR="00FB5B8D" w:rsidRPr="003D21E6" w14:paraId="3870179F" w14:textId="77777777" w:rsidTr="00665725">
        <w:trPr>
          <w:cantSplit/>
        </w:trPr>
        <w:tc>
          <w:tcPr>
            <w:tcW w:w="1701" w:type="dxa"/>
          </w:tcPr>
          <w:p w14:paraId="3DE79DBF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799B7689" w14:textId="35CBDA8D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5C1F50EA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5290768D" w14:textId="77777777" w:rsidTr="00665725">
        <w:trPr>
          <w:cantSplit/>
        </w:trPr>
        <w:tc>
          <w:tcPr>
            <w:tcW w:w="1701" w:type="dxa"/>
          </w:tcPr>
          <w:p w14:paraId="3F46F6D8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20788C45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4BA9F7B3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2A8AAB5A" w14:textId="77777777" w:rsidTr="00665725">
        <w:trPr>
          <w:cantSplit/>
        </w:trPr>
        <w:tc>
          <w:tcPr>
            <w:tcW w:w="1701" w:type="dxa"/>
            <w:hideMark/>
          </w:tcPr>
          <w:p w14:paraId="0B20E7FA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  <w:r w:rsidRPr="003D21E6">
              <w:rPr>
                <w:rStyle w:val="Kiemels2"/>
              </w:rPr>
              <w:t>Előterjesztő:</w:t>
            </w:r>
          </w:p>
        </w:tc>
        <w:tc>
          <w:tcPr>
            <w:tcW w:w="3686" w:type="dxa"/>
            <w:hideMark/>
          </w:tcPr>
          <w:p w14:paraId="087012C1" w14:textId="77777777" w:rsidR="00FB5B8D" w:rsidRPr="003D21E6" w:rsidRDefault="00FB5B8D" w:rsidP="00665725">
            <w:pPr>
              <w:pStyle w:val="trobekezdes0"/>
            </w:pPr>
            <w:r w:rsidRPr="003D21E6">
              <w:t>………………………………</w:t>
            </w:r>
          </w:p>
          <w:p w14:paraId="4E8C1AAD" w14:textId="77777777" w:rsidR="00FB5B8D" w:rsidRPr="003D21E6" w:rsidRDefault="00FB5B8D" w:rsidP="00665725">
            <w:pPr>
              <w:pStyle w:val="trobekezdes0K"/>
            </w:pPr>
            <w:r w:rsidRPr="003D21E6">
              <w:t xml:space="preserve">Trummer Tamás </w:t>
            </w:r>
          </w:p>
          <w:p w14:paraId="6FE85143" w14:textId="77777777" w:rsidR="00FB5B8D" w:rsidRPr="003D21E6" w:rsidRDefault="00FB5B8D" w:rsidP="00665725">
            <w:pPr>
              <w:pStyle w:val="trobekezdes0K"/>
            </w:pPr>
            <w:r w:rsidRPr="003D21E6">
              <w:t>főépítész</w:t>
            </w:r>
          </w:p>
        </w:tc>
        <w:tc>
          <w:tcPr>
            <w:tcW w:w="4252" w:type="dxa"/>
          </w:tcPr>
          <w:p w14:paraId="3E825F31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AD772D5" w14:textId="77777777" w:rsidTr="00665725">
        <w:trPr>
          <w:cantSplit/>
        </w:trPr>
        <w:tc>
          <w:tcPr>
            <w:tcW w:w="1701" w:type="dxa"/>
          </w:tcPr>
          <w:p w14:paraId="24DC594A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</w:p>
        </w:tc>
        <w:tc>
          <w:tcPr>
            <w:tcW w:w="3686" w:type="dxa"/>
          </w:tcPr>
          <w:p w14:paraId="345A2B33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023809AA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52266D24" w14:textId="77777777" w:rsidTr="00665725">
        <w:trPr>
          <w:cantSplit/>
        </w:trPr>
        <w:tc>
          <w:tcPr>
            <w:tcW w:w="1701" w:type="dxa"/>
          </w:tcPr>
          <w:p w14:paraId="765D386F" w14:textId="77777777" w:rsidR="00FB5B8D" w:rsidRPr="003D21E6" w:rsidRDefault="00FB5B8D" w:rsidP="00665725">
            <w:pPr>
              <w:pStyle w:val="tkvkbekezdes"/>
              <w:rPr>
                <w:rStyle w:val="Kiemels2"/>
              </w:rPr>
            </w:pPr>
          </w:p>
        </w:tc>
        <w:tc>
          <w:tcPr>
            <w:tcW w:w="3686" w:type="dxa"/>
          </w:tcPr>
          <w:p w14:paraId="714AF01C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62EA50B0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1632B155" w14:textId="77777777" w:rsidTr="00665725">
        <w:trPr>
          <w:cantSplit/>
        </w:trPr>
        <w:tc>
          <w:tcPr>
            <w:tcW w:w="1701" w:type="dxa"/>
          </w:tcPr>
          <w:p w14:paraId="2735EBED" w14:textId="77777777" w:rsidR="00FB5B8D" w:rsidRPr="003D21E6" w:rsidRDefault="00FB5B8D" w:rsidP="00665725">
            <w:pPr>
              <w:pStyle w:val="tkvkbekezdes"/>
            </w:pPr>
          </w:p>
        </w:tc>
        <w:tc>
          <w:tcPr>
            <w:tcW w:w="3686" w:type="dxa"/>
          </w:tcPr>
          <w:p w14:paraId="5AA8A183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12490432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C338D5B" w14:textId="77777777" w:rsidTr="00665725">
        <w:trPr>
          <w:cantSplit/>
        </w:trPr>
        <w:tc>
          <w:tcPr>
            <w:tcW w:w="1701" w:type="dxa"/>
            <w:hideMark/>
          </w:tcPr>
          <w:p w14:paraId="31C9C214" w14:textId="77777777" w:rsidR="00FB5B8D" w:rsidRPr="003D21E6" w:rsidRDefault="00FB5B8D" w:rsidP="00665725">
            <w:pPr>
              <w:pStyle w:val="tkvkbekezdes"/>
            </w:pPr>
            <w:r w:rsidRPr="003D21E6">
              <w:rPr>
                <w:rStyle w:val="Kiemels2"/>
              </w:rPr>
              <w:t xml:space="preserve">Készítette </w:t>
            </w:r>
          </w:p>
        </w:tc>
        <w:tc>
          <w:tcPr>
            <w:tcW w:w="3686" w:type="dxa"/>
            <w:hideMark/>
          </w:tcPr>
          <w:p w14:paraId="24273596" w14:textId="77777777" w:rsidR="00FB5B8D" w:rsidRPr="003D21E6" w:rsidRDefault="00FB5B8D" w:rsidP="00665725">
            <w:pPr>
              <w:pStyle w:val="trobekezdes0"/>
            </w:pPr>
            <w:r w:rsidRPr="003D21E6">
              <w:t>………………………………</w:t>
            </w:r>
          </w:p>
          <w:p w14:paraId="0F3F7770" w14:textId="77777777" w:rsidR="00FB5B8D" w:rsidRPr="003D21E6" w:rsidRDefault="00FB5B8D" w:rsidP="00665725">
            <w:pPr>
              <w:pStyle w:val="trobekezdes0K"/>
            </w:pPr>
            <w:r w:rsidRPr="003D21E6">
              <w:t xml:space="preserve">Erdei Gyula </w:t>
            </w:r>
          </w:p>
          <w:p w14:paraId="10D5C328" w14:textId="77777777" w:rsidR="00FB5B8D" w:rsidRPr="003D21E6" w:rsidRDefault="00FB5B8D" w:rsidP="00665725">
            <w:pPr>
              <w:pStyle w:val="trobekezdes0K"/>
            </w:pPr>
            <w:r w:rsidRPr="003D21E6">
              <w:t>osztályvezető</w:t>
            </w:r>
          </w:p>
        </w:tc>
        <w:tc>
          <w:tcPr>
            <w:tcW w:w="4252" w:type="dxa"/>
          </w:tcPr>
          <w:p w14:paraId="73AC833C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069A7444" w14:textId="77777777" w:rsidTr="00665725">
        <w:trPr>
          <w:cantSplit/>
        </w:trPr>
        <w:tc>
          <w:tcPr>
            <w:tcW w:w="1701" w:type="dxa"/>
          </w:tcPr>
          <w:p w14:paraId="20C2BFF1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6A4A38E5" w14:textId="77777777" w:rsidR="00FB5B8D" w:rsidRPr="003D21E6" w:rsidRDefault="00FB5B8D" w:rsidP="00665725">
            <w:pPr>
              <w:pStyle w:val="trobekezdes0"/>
            </w:pPr>
          </w:p>
        </w:tc>
        <w:tc>
          <w:tcPr>
            <w:tcW w:w="4252" w:type="dxa"/>
          </w:tcPr>
          <w:p w14:paraId="3C7599CF" w14:textId="77777777" w:rsidR="00FB5B8D" w:rsidRPr="003D21E6" w:rsidRDefault="00FB5B8D" w:rsidP="00665725">
            <w:pPr>
              <w:pStyle w:val="tkvkbekezdes"/>
            </w:pPr>
          </w:p>
        </w:tc>
      </w:tr>
      <w:tr w:rsidR="00FB5B8D" w:rsidRPr="003D21E6" w14:paraId="333F96F8" w14:textId="77777777" w:rsidTr="00665725">
        <w:trPr>
          <w:cantSplit/>
        </w:trPr>
        <w:tc>
          <w:tcPr>
            <w:tcW w:w="1701" w:type="dxa"/>
          </w:tcPr>
          <w:p w14:paraId="6E6B14EA" w14:textId="77777777" w:rsidR="00FB5B8D" w:rsidRPr="003D21E6" w:rsidRDefault="00FB5B8D" w:rsidP="00665725">
            <w:pPr>
              <w:pStyle w:val="tkvkbekezdes"/>
              <w:rPr>
                <w:rStyle w:val="Kiemels2"/>
                <w:u w:val="single"/>
              </w:rPr>
            </w:pPr>
          </w:p>
        </w:tc>
        <w:tc>
          <w:tcPr>
            <w:tcW w:w="3686" w:type="dxa"/>
          </w:tcPr>
          <w:p w14:paraId="1D0E4866" w14:textId="77777777" w:rsidR="00FB5B8D" w:rsidRPr="003D21E6" w:rsidRDefault="00FB5B8D" w:rsidP="00665725">
            <w:pPr>
              <w:pStyle w:val="trobekezdes0K"/>
            </w:pPr>
          </w:p>
        </w:tc>
        <w:tc>
          <w:tcPr>
            <w:tcW w:w="4252" w:type="dxa"/>
          </w:tcPr>
          <w:p w14:paraId="47FC4067" w14:textId="77777777" w:rsidR="00FB5B8D" w:rsidRPr="003D21E6" w:rsidRDefault="00FB5B8D" w:rsidP="00665725">
            <w:pPr>
              <w:pStyle w:val="tkvkbekezdes"/>
            </w:pPr>
          </w:p>
        </w:tc>
      </w:tr>
    </w:tbl>
    <w:p w14:paraId="298F82FC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01A0BDB1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0E99CF00" w14:textId="77777777" w:rsidR="00FB5B8D" w:rsidRPr="003D21E6" w:rsidRDefault="00FB5B8D" w:rsidP="00FB5B8D">
      <w:pPr>
        <w:jc w:val="right"/>
      </w:pPr>
      <w:r w:rsidRPr="003D21E6">
        <w:tab/>
      </w:r>
      <w:r w:rsidRPr="003D21E6">
        <w:tab/>
      </w:r>
      <w:r w:rsidRPr="003D21E6">
        <w:tab/>
      </w:r>
      <w:r w:rsidRPr="003D21E6">
        <w:tab/>
        <w:t xml:space="preserve">A napirend tárgyalása zárt ülést </w:t>
      </w:r>
      <w:r w:rsidRPr="003D21E6">
        <w:rPr>
          <w:u w:val="single"/>
        </w:rPr>
        <w:t>nem igényel</w:t>
      </w:r>
      <w:r w:rsidRPr="003D21E6">
        <w:t>.</w:t>
      </w:r>
    </w:p>
    <w:p w14:paraId="3DA6E01C" w14:textId="77777777" w:rsidR="00FB5B8D" w:rsidRPr="003D21E6" w:rsidRDefault="00FB5B8D" w:rsidP="00FB5B8D">
      <w:pPr>
        <w:keepLines w:val="0"/>
        <w:spacing w:line="264" w:lineRule="auto"/>
        <w:ind w:right="227"/>
      </w:pPr>
    </w:p>
    <w:p w14:paraId="155C8EA1" w14:textId="77777777" w:rsidR="00EF074B" w:rsidRPr="00FB5B8D" w:rsidRDefault="00EF074B" w:rsidP="00EF074B">
      <w:pPr>
        <w:keepLines w:val="0"/>
        <w:spacing w:line="264" w:lineRule="auto"/>
        <w:ind w:right="227"/>
        <w:rPr>
          <w:highlight w:val="cyan"/>
        </w:rPr>
      </w:pPr>
    </w:p>
    <w:p w14:paraId="20E26955" w14:textId="10F3AFBB" w:rsidR="005938A0" w:rsidRPr="006518AE" w:rsidRDefault="00EF074B" w:rsidP="00F4287E">
      <w:pPr>
        <w:keepLines w:val="0"/>
        <w:spacing w:before="120" w:after="240"/>
        <w:ind w:right="227"/>
        <w:rPr>
          <w:b/>
          <w:szCs w:val="24"/>
        </w:rPr>
      </w:pPr>
      <w:r w:rsidRPr="00FB5B8D">
        <w:rPr>
          <w:highlight w:val="cyan"/>
        </w:rPr>
        <w:br w:type="page"/>
      </w:r>
      <w:r w:rsidR="00F4287E" w:rsidRPr="006518AE">
        <w:rPr>
          <w:b/>
          <w:szCs w:val="24"/>
        </w:rPr>
        <w:lastRenderedPageBreak/>
        <w:t>Tisztelt Bizottság!</w:t>
      </w:r>
    </w:p>
    <w:p w14:paraId="3A6728A4" w14:textId="3F4E6211" w:rsidR="00E66546" w:rsidRDefault="00E66546" w:rsidP="008D0ABD">
      <w:pPr>
        <w:spacing w:after="120"/>
      </w:pPr>
      <w:r w:rsidRPr="006518AE">
        <w:t>Kérem a Tisztelt Bizottságot, hogy a mellékelt, azonos tárgyú Kerületfejlesztési Bizottsági előterjesztés ismeretében alakítsa ki véleményét a</w:t>
      </w:r>
      <w:r w:rsidR="008E3FC6">
        <w:t xml:space="preserve"> </w:t>
      </w:r>
      <w:r w:rsidRPr="006518AE">
        <w:rPr>
          <w:rFonts w:eastAsia="Arial Unicode MS"/>
        </w:rPr>
        <w:t>Környezeti vizsgálat szükségességéről</w:t>
      </w:r>
      <w:r w:rsidRPr="006518AE">
        <w:t>.</w:t>
      </w:r>
    </w:p>
    <w:p w14:paraId="36280703" w14:textId="77777777" w:rsidR="008E3FC6" w:rsidRDefault="008E3FC6" w:rsidP="008D0ABD">
      <w:pPr>
        <w:pStyle w:val="Szvegtrzs"/>
        <w:spacing w:after="60"/>
        <w:ind w:left="709"/>
        <w:jc w:val="both"/>
      </w:pPr>
      <w:r w:rsidRPr="00F541E4">
        <w:t xml:space="preserve">Az </w:t>
      </w:r>
      <w:r w:rsidRPr="007A6241">
        <w:rPr>
          <w:i/>
        </w:rPr>
        <w:t>épített környezet alakításáról és védelméről</w:t>
      </w:r>
      <w:r w:rsidRPr="00F541E4">
        <w:t xml:space="preserve"> szóló 1997. évi LXXVIII. törvény</w:t>
      </w:r>
      <w:r>
        <w:t xml:space="preserve"> (a továbbiakban: ÉTV)</w:t>
      </w:r>
      <w:r w:rsidRPr="00F541E4">
        <w:t xml:space="preserve"> 6. § (1) bekezdése alapján a települési önkormányzat építésügyi feladata a településrendezési feladatkör ellátása, melyet a helyi építési szabályzat, valamint a településrendezési tervek elkészíttetésével</w:t>
      </w:r>
      <w:r>
        <w:t>-módosításával</w:t>
      </w:r>
      <w:r w:rsidRPr="00F541E4">
        <w:t>, elfogadásával lát el.</w:t>
      </w:r>
      <w:r>
        <w:t xml:space="preserve"> </w:t>
      </w:r>
    </w:p>
    <w:p w14:paraId="38A1D7C8" w14:textId="76751E8F" w:rsidR="008E3FC6" w:rsidRPr="00D556BF" w:rsidRDefault="00CB242A" w:rsidP="008D0ABD">
      <w:pPr>
        <w:pStyle w:val="Szvegtrzs"/>
        <w:spacing w:after="60"/>
        <w:ind w:left="709"/>
        <w:jc w:val="both"/>
        <w:rPr>
          <w:lang w:eastAsia="en-US"/>
        </w:rPr>
      </w:pPr>
      <w:r w:rsidRPr="00CB242A">
        <w:rPr>
          <w:lang w:eastAsia="en-US"/>
        </w:rPr>
        <w:t xml:space="preserve">Budapest Főváros II. kerületi Önkormányzat Képviselő-testülete, a </w:t>
      </w:r>
      <w:r>
        <w:rPr>
          <w:lang w:eastAsia="en-US"/>
        </w:rPr>
        <w:t>364</w:t>
      </w:r>
      <w:r w:rsidRPr="00CB242A">
        <w:rPr>
          <w:lang w:eastAsia="en-US"/>
        </w:rPr>
        <w:t>/2023.(</w:t>
      </w:r>
      <w:r>
        <w:rPr>
          <w:lang w:eastAsia="en-US"/>
        </w:rPr>
        <w:t>IX</w:t>
      </w:r>
      <w:r w:rsidRPr="00CB242A">
        <w:rPr>
          <w:lang w:eastAsia="en-US"/>
        </w:rPr>
        <w:t>.2</w:t>
      </w:r>
      <w:r>
        <w:rPr>
          <w:lang w:eastAsia="en-US"/>
        </w:rPr>
        <w:t>9</w:t>
      </w:r>
      <w:r w:rsidRPr="00CB242A">
        <w:rPr>
          <w:lang w:eastAsia="en-US"/>
        </w:rPr>
        <w:t xml:space="preserve">.) számú határozatában döntött a </w:t>
      </w:r>
      <w:r w:rsidR="00AB534C" w:rsidRPr="00AB534C">
        <w:rPr>
          <w:lang w:eastAsia="en-US"/>
        </w:rPr>
        <w:t>Budapest II. kerület, belterület 14566 hrsz-ú telket érintő, Komjádi Béla utca – Árpád fejedelem útja – Zsigmond tér – Frankel Leó út által határolt területére</w:t>
      </w:r>
      <w:r w:rsidR="008E3FC6" w:rsidRPr="00B94D86">
        <w:rPr>
          <w:lang w:eastAsia="en-US"/>
        </w:rPr>
        <w:t xml:space="preserve"> vonatkozó 28/2019. (XI. 27.) rendelettel elfogadott II. kerületi építési szabályzat (a továbbiakban: KÉSZ) (eseti) mó</w:t>
      </w:r>
      <w:r w:rsidR="008E3FC6">
        <w:rPr>
          <w:lang w:eastAsia="en-US"/>
        </w:rPr>
        <w:t xml:space="preserve">dosítási eljárás megindításáról, </w:t>
      </w:r>
      <w:r w:rsidR="008E3FC6" w:rsidRPr="00D556BF">
        <w:t>és az ehhez szükségszerűen kapcsolódó folyamatok megindításához, lefolytatásához.</w:t>
      </w:r>
    </w:p>
    <w:p w14:paraId="33DFD764" w14:textId="77777777" w:rsidR="008E3FC6" w:rsidRPr="00D556BF" w:rsidRDefault="008E3FC6" w:rsidP="008D0ABD">
      <w:pPr>
        <w:pStyle w:val="Szvegtrzs"/>
        <w:spacing w:after="60"/>
        <w:ind w:left="709"/>
        <w:jc w:val="both"/>
        <w:rPr>
          <w:lang w:eastAsia="en-US"/>
        </w:rPr>
      </w:pPr>
      <w:r w:rsidRPr="00D556BF">
        <w:rPr>
          <w:lang w:eastAsia="en-US"/>
        </w:rPr>
        <w:t xml:space="preserve">Az </w:t>
      </w:r>
      <w:r w:rsidRPr="00D556BF">
        <w:rPr>
          <w:i/>
          <w:lang w:eastAsia="en-US"/>
        </w:rPr>
        <w:t>egyes tervek, illetve programok környezeti vizsgálatáról</w:t>
      </w:r>
      <w:r w:rsidRPr="00D556BF">
        <w:rPr>
          <w:lang w:eastAsia="en-US"/>
        </w:rPr>
        <w:t xml:space="preserve"> szóló 2/2005.(I.11.) Korm.rendelet (a továbbiakban: </w:t>
      </w:r>
      <w:r w:rsidRPr="000B7F28">
        <w:rPr>
          <w:i/>
        </w:rPr>
        <w:t>Rendelet</w:t>
      </w:r>
      <w:r w:rsidRPr="007B6117">
        <w:rPr>
          <w:i/>
          <w:lang w:eastAsia="en-US"/>
        </w:rPr>
        <w:t>.</w:t>
      </w:r>
      <w:r w:rsidRPr="00D556BF">
        <w:rPr>
          <w:lang w:eastAsia="en-US"/>
        </w:rPr>
        <w:t xml:space="preserve">) 1. § (3) bekezdésének megfelelően </w:t>
      </w:r>
      <w:r w:rsidRPr="00503707">
        <w:rPr>
          <w:lang w:eastAsia="en-US"/>
        </w:rPr>
        <w:t>a település egy részére készülő szabályozási tervnél és helyi építési szabályzatnál eseti döntés alapján kell meghatározni a környezeti vizsgálat szükségességét</w:t>
      </w:r>
      <w:r w:rsidRPr="000B7F28">
        <w:t>, tehát esetünkben a várható környezeti hatás jelentőségének meghatározása alapján kell eldönteni a kérdést.</w:t>
      </w:r>
    </w:p>
    <w:p w14:paraId="2D56F8F6" w14:textId="20C63D2C" w:rsidR="008E3FC6" w:rsidRPr="00E20EDD" w:rsidRDefault="008E3FC6" w:rsidP="008D0ABD">
      <w:pPr>
        <w:pStyle w:val="Szvegtrzs"/>
        <w:spacing w:after="60"/>
        <w:ind w:left="709"/>
        <w:jc w:val="both"/>
        <w:rPr>
          <w:highlight w:val="cyan"/>
        </w:rPr>
      </w:pPr>
      <w:r w:rsidRPr="000B7F28">
        <w:t xml:space="preserve">Az Épített Környezetért </w:t>
      </w:r>
      <w:r>
        <w:t>F</w:t>
      </w:r>
      <w:r w:rsidRPr="000B7F28">
        <w:t xml:space="preserve">elelős Igazgatóság fentiek alapján megkérte a </w:t>
      </w:r>
      <w:r w:rsidRPr="000B7F28">
        <w:rPr>
          <w:i/>
        </w:rPr>
        <w:t>Rendelet</w:t>
      </w:r>
      <w:r>
        <w:rPr>
          <w:i/>
        </w:rPr>
        <w:t>.</w:t>
      </w:r>
      <w:r w:rsidRPr="000B7F28">
        <w:t xml:space="preserve"> szerinti államigazgatási szervek nyilatkozatait arról, hogy a hatáskörükbe tartozó környezet- vagy természetvédelmi szakterületet illetően várható-e jelentős környezeti hatás. </w:t>
      </w:r>
    </w:p>
    <w:p w14:paraId="7C99C2D7" w14:textId="1F2609DB" w:rsidR="008E3FC6" w:rsidRPr="006124B2" w:rsidRDefault="008E3FC6" w:rsidP="008D0ABD">
      <w:pPr>
        <w:pStyle w:val="Szvegtrzs"/>
        <w:spacing w:after="60"/>
        <w:ind w:left="709"/>
        <w:jc w:val="both"/>
      </w:pPr>
      <w:r w:rsidRPr="009C2716">
        <w:t>A 202</w:t>
      </w:r>
      <w:r w:rsidR="00AB534C" w:rsidRPr="009C2716">
        <w:t>4</w:t>
      </w:r>
      <w:r w:rsidRPr="009C2716">
        <w:t xml:space="preserve">. </w:t>
      </w:r>
      <w:r w:rsidR="002101D7" w:rsidRPr="009C2716">
        <w:t>január</w:t>
      </w:r>
      <w:r w:rsidRPr="009C2716">
        <w:t xml:space="preserve"> </w:t>
      </w:r>
      <w:r w:rsidR="002101D7" w:rsidRPr="009C2716">
        <w:t>24</w:t>
      </w:r>
      <w:r w:rsidRPr="009C2716">
        <w:t>-én megküldött nyilatkozat kérésére adott válaszok befogadását 202</w:t>
      </w:r>
      <w:r w:rsidR="00AB534C" w:rsidRPr="009C2716">
        <w:t>4</w:t>
      </w:r>
      <w:r w:rsidRPr="009C2716">
        <w:t xml:space="preserve">. </w:t>
      </w:r>
      <w:r w:rsidR="00AB534C" w:rsidRPr="009C2716">
        <w:t>február 8</w:t>
      </w:r>
      <w:r w:rsidRPr="009C2716">
        <w:noBreakHyphen/>
      </w:r>
      <w:r w:rsidR="00AB534C" w:rsidRPr="009C2716">
        <w:t>á</w:t>
      </w:r>
      <w:r w:rsidRPr="009C2716">
        <w:t>n zártuk le. A tize</w:t>
      </w:r>
      <w:r w:rsidR="002101D7" w:rsidRPr="009C2716">
        <w:t>nkét</w:t>
      </w:r>
      <w:r w:rsidRPr="009C2716">
        <w:t xml:space="preserve"> megkeresett államigazgatási szerv közül </w:t>
      </w:r>
      <w:r w:rsidR="00390FBC" w:rsidRPr="009C2716">
        <w:t>nyolc</w:t>
      </w:r>
      <w:r w:rsidRPr="009C2716">
        <w:t xml:space="preserve"> </w:t>
      </w:r>
      <w:r w:rsidR="009C2716" w:rsidRPr="009C2716">
        <w:t>tett nyilatkozatot, melyek közül egyik sem tartotta szükségesnek környezeti hatásvizsgálat készítését.</w:t>
      </w:r>
      <w:r w:rsidRPr="009C2716">
        <w:t xml:space="preserve"> </w:t>
      </w:r>
    </w:p>
    <w:p w14:paraId="31D4AB44" w14:textId="78DF91EA" w:rsidR="008E3FC6" w:rsidRPr="009129E8" w:rsidRDefault="008E3FC6" w:rsidP="008D0ABD">
      <w:pPr>
        <w:pStyle w:val="Szvegtrzs"/>
        <w:spacing w:after="60"/>
        <w:ind w:left="709"/>
        <w:jc w:val="both"/>
      </w:pPr>
      <w:r w:rsidRPr="009129E8">
        <w:t>Az államigazgatási szervek véleményét összesítő táblázatba rendszerezve a</w:t>
      </w:r>
      <w:r>
        <w:t xml:space="preserve"> (KfB)</w:t>
      </w:r>
      <w:r w:rsidRPr="009129E8">
        <w:t xml:space="preserve"> előterjesztés 1.</w:t>
      </w:r>
      <w:r w:rsidR="008D0ABD">
        <w:t> </w:t>
      </w:r>
      <w:r w:rsidRPr="009129E8">
        <w:t>melléklete, a beérkezett véleményeket eredeti terjedelmükben a</w:t>
      </w:r>
      <w:r>
        <w:t xml:space="preserve"> (KfB)</w:t>
      </w:r>
      <w:r w:rsidRPr="009129E8">
        <w:t xml:space="preserve"> előterjesztés 2.</w:t>
      </w:r>
      <w:r w:rsidR="008D0ABD">
        <w:t> </w:t>
      </w:r>
      <w:r w:rsidRPr="009129E8">
        <w:t>melléklete tartalmazza.</w:t>
      </w:r>
    </w:p>
    <w:p w14:paraId="4A1FC077" w14:textId="77777777" w:rsidR="00EF074B" w:rsidRPr="006518AE" w:rsidRDefault="00EF074B" w:rsidP="00B07CC3">
      <w:pPr>
        <w:keepLines w:val="0"/>
        <w:spacing w:before="240" w:after="60"/>
        <w:ind w:left="-28" w:right="227"/>
        <w:jc w:val="center"/>
        <w:rPr>
          <w:b/>
        </w:rPr>
      </w:pPr>
      <w:r w:rsidRPr="006518AE">
        <w:rPr>
          <w:b/>
        </w:rPr>
        <w:t>Határozati javaslat</w:t>
      </w:r>
    </w:p>
    <w:p w14:paraId="55483B22" w14:textId="73B52BC2" w:rsidR="008A453C" w:rsidRPr="004F2B0C" w:rsidRDefault="008A453C" w:rsidP="008D0ABD">
      <w:pPr>
        <w:keepLines w:val="0"/>
        <w:spacing w:before="120"/>
        <w:ind w:left="703" w:right="227"/>
      </w:pPr>
      <w:r w:rsidRPr="000622D5">
        <w:rPr>
          <w:b/>
        </w:rPr>
        <w:t>A Bizottság</w:t>
      </w:r>
      <w:r w:rsidRPr="004F2B0C">
        <w:t xml:space="preserve"> - a Budapest Főváros II. Kerületi Önkormányzat Képviselő-testületének </w:t>
      </w:r>
      <w:r w:rsidR="00B07CC3" w:rsidRPr="004F2B0C">
        <w:t>önkormányzati rendelete az önkormányzat Szervezeti és Működési Szabályzatáról</w:t>
      </w:r>
      <w:r w:rsidRPr="004F2B0C">
        <w:t xml:space="preserve"> szóló </w:t>
      </w:r>
      <w:r w:rsidR="006518AE" w:rsidRPr="004F2B0C">
        <w:t>13/1992.(VII.01.)</w:t>
      </w:r>
      <w:r w:rsidRPr="004F2B0C">
        <w:t xml:space="preserve"> önkormányzati rendelete Településüzemeltetési, Környezetvédelmi és Közbiztonsági Bizottságra vonatkozó </w:t>
      </w:r>
      <w:r w:rsidR="00B07CC3" w:rsidRPr="004F2B0C">
        <w:t>11</w:t>
      </w:r>
      <w:r w:rsidRPr="004F2B0C">
        <w:t xml:space="preserve">. melléklet </w:t>
      </w:r>
      <w:r w:rsidR="00102458" w:rsidRPr="004F2B0C">
        <w:t xml:space="preserve">5.4.11. </w:t>
      </w:r>
      <w:r w:rsidRPr="004F2B0C">
        <w:t xml:space="preserve">pontjában biztosított hatáskörében eljárva </w:t>
      </w:r>
      <w:r w:rsidR="00E4792D">
        <w:t xml:space="preserve">- </w:t>
      </w:r>
      <w:r w:rsidR="000622D5" w:rsidRPr="000622D5">
        <w:rPr>
          <w:b/>
          <w:u w:val="single"/>
        </w:rPr>
        <w:t>kialakított véleménye</w:t>
      </w:r>
      <w:r w:rsidR="00760513" w:rsidRPr="000622D5">
        <w:rPr>
          <w:b/>
        </w:rPr>
        <w:t xml:space="preserve">, hogy </w:t>
      </w:r>
      <w:r w:rsidRPr="000622D5">
        <w:rPr>
          <w:b/>
        </w:rPr>
        <w:t xml:space="preserve">a </w:t>
      </w:r>
      <w:r w:rsidR="00013624" w:rsidRPr="000622D5">
        <w:rPr>
          <w:b/>
        </w:rPr>
        <w:t>Budapest II. kerület, belterület 14566 hrsz-ú telket érintő, Komjádi Béla utca – Árpád fejedelem útja – Zsigmond tér – Frankel Leó út által határolt területre</w:t>
      </w:r>
      <w:r w:rsidR="00B83041" w:rsidRPr="000622D5">
        <w:rPr>
          <w:b/>
        </w:rPr>
        <w:t xml:space="preserve"> a KÉSZ módosítással </w:t>
      </w:r>
      <w:r w:rsidRPr="000622D5">
        <w:rPr>
          <w:b/>
        </w:rPr>
        <w:t>összefüggésben</w:t>
      </w:r>
      <w:r w:rsidR="000622D5" w:rsidRPr="000622D5">
        <w:rPr>
          <w:b/>
        </w:rPr>
        <w:t xml:space="preserve"> </w:t>
      </w:r>
      <w:r w:rsidR="0081082C" w:rsidRPr="000622D5">
        <w:rPr>
          <w:b/>
          <w:u w:val="single"/>
        </w:rPr>
        <w:t>ne</w:t>
      </w:r>
      <w:r w:rsidR="000622D5">
        <w:rPr>
          <w:b/>
          <w:u w:val="single"/>
        </w:rPr>
        <w:t>m</w:t>
      </w:r>
      <w:r w:rsidR="0081082C" w:rsidRPr="000622D5">
        <w:rPr>
          <w:b/>
          <w:u w:val="single"/>
        </w:rPr>
        <w:t xml:space="preserve"> tart</w:t>
      </w:r>
      <w:r w:rsidR="000622D5">
        <w:rPr>
          <w:b/>
          <w:u w:val="single"/>
        </w:rPr>
        <w:t>ja</w:t>
      </w:r>
      <w:r w:rsidR="0081082C" w:rsidRPr="000622D5">
        <w:rPr>
          <w:b/>
          <w:u w:val="single"/>
        </w:rPr>
        <w:t xml:space="preserve"> </w:t>
      </w:r>
      <w:r w:rsidRPr="000622D5">
        <w:rPr>
          <w:b/>
          <w:u w:val="single"/>
        </w:rPr>
        <w:t>szükségesnek környezeti vizsgálat készítését.</w:t>
      </w:r>
    </w:p>
    <w:p w14:paraId="0BED2C93" w14:textId="77777777" w:rsidR="00EF074B" w:rsidRPr="006518AE" w:rsidRDefault="00EF074B" w:rsidP="00F077B4">
      <w:pPr>
        <w:keepLines w:val="0"/>
        <w:spacing w:before="120" w:line="264" w:lineRule="auto"/>
        <w:ind w:left="709" w:right="227"/>
      </w:pPr>
      <w:r w:rsidRPr="006518AE">
        <w:rPr>
          <w:b/>
          <w:u w:val="single"/>
        </w:rPr>
        <w:lastRenderedPageBreak/>
        <w:t>Felelős</w:t>
      </w:r>
      <w:r w:rsidRPr="006518AE">
        <w:rPr>
          <w:b/>
        </w:rPr>
        <w:t>:</w:t>
      </w:r>
      <w:r w:rsidRPr="006518AE">
        <w:rPr>
          <w:b/>
        </w:rPr>
        <w:tab/>
      </w:r>
      <w:r w:rsidRPr="006518AE">
        <w:t>Polgármester</w:t>
      </w:r>
    </w:p>
    <w:p w14:paraId="24D3C4BE" w14:textId="4BB58963" w:rsidR="00EF074B" w:rsidRPr="006518AE" w:rsidRDefault="00EF074B" w:rsidP="00EF074B">
      <w:pPr>
        <w:keepLines w:val="0"/>
        <w:spacing w:after="120" w:line="264" w:lineRule="auto"/>
        <w:ind w:left="709" w:right="227"/>
      </w:pPr>
      <w:r w:rsidRPr="006518AE">
        <w:rPr>
          <w:b/>
          <w:u w:val="single"/>
        </w:rPr>
        <w:t>Határidő</w:t>
      </w:r>
      <w:r w:rsidRPr="006518AE">
        <w:t>:</w:t>
      </w:r>
      <w:r w:rsidRPr="006518AE">
        <w:tab/>
      </w:r>
      <w:r w:rsidR="000622D5" w:rsidRPr="000622D5">
        <w:t>2024. február</w:t>
      </w:r>
      <w:r w:rsidR="000622D5">
        <w:t xml:space="preserve"> 20.</w:t>
      </w:r>
    </w:p>
    <w:p w14:paraId="1EC88BA9" w14:textId="72FB0073" w:rsidR="00EF074B" w:rsidRPr="006518AE" w:rsidRDefault="00EF074B" w:rsidP="008D0ABD">
      <w:pPr>
        <w:keepLines w:val="0"/>
        <w:spacing w:before="120"/>
        <w:ind w:left="709" w:right="227"/>
      </w:pPr>
      <w:r w:rsidRPr="006518AE">
        <w:t xml:space="preserve">Budapest, </w:t>
      </w:r>
      <w:r w:rsidR="008A453C" w:rsidRPr="006518AE">
        <w:t>202</w:t>
      </w:r>
      <w:r w:rsidR="00AB534C">
        <w:t>4</w:t>
      </w:r>
      <w:r w:rsidRPr="006518AE">
        <w:t xml:space="preserve">. </w:t>
      </w:r>
      <w:r w:rsidR="00AB534C">
        <w:t>február</w:t>
      </w:r>
      <w:r w:rsidR="00E44B5C">
        <w:t xml:space="preserve"> …</w:t>
      </w:r>
    </w:p>
    <w:p w14:paraId="0EA28666" w14:textId="77777777" w:rsidR="00EF074B" w:rsidRPr="006518AE" w:rsidRDefault="00EF074B" w:rsidP="00B07CC3">
      <w:pPr>
        <w:keepLines w:val="0"/>
        <w:tabs>
          <w:tab w:val="center" w:pos="4536"/>
        </w:tabs>
        <w:spacing w:before="240"/>
        <w:ind w:right="227"/>
        <w:rPr>
          <w:b/>
        </w:rPr>
      </w:pPr>
      <w:r w:rsidRPr="006518AE">
        <w:tab/>
      </w:r>
      <w:r w:rsidRPr="006518AE">
        <w:rPr>
          <w:b/>
        </w:rPr>
        <w:t>Tisztelettel:</w:t>
      </w:r>
    </w:p>
    <w:p w14:paraId="0C0AACC8" w14:textId="77777777" w:rsidR="00EF074B" w:rsidRPr="006518AE" w:rsidRDefault="00EF074B" w:rsidP="00EF074B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6518AE">
        <w:rPr>
          <w:b/>
          <w:szCs w:val="24"/>
          <w:lang w:eastAsia="hu-HU"/>
        </w:rPr>
        <w:tab/>
        <w:t xml:space="preserve">Trummer Tamás </w:t>
      </w:r>
    </w:p>
    <w:p w14:paraId="36D4E23F" w14:textId="11256CED" w:rsidR="00EF074B" w:rsidRPr="006518AE" w:rsidRDefault="00EF074B" w:rsidP="00F4287E">
      <w:pPr>
        <w:keepLines w:val="0"/>
        <w:tabs>
          <w:tab w:val="center" w:pos="6804"/>
        </w:tabs>
        <w:suppressAutoHyphens w:val="0"/>
        <w:sectPr w:rsidR="00EF074B" w:rsidRPr="006518AE" w:rsidSect="00325912">
          <w:headerReference w:type="first" r:id="rId8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titlePg/>
          <w:docGrid w:linePitch="272"/>
        </w:sectPr>
      </w:pPr>
      <w:r w:rsidRPr="006518AE">
        <w:rPr>
          <w:b/>
          <w:szCs w:val="24"/>
          <w:lang w:eastAsia="hu-HU"/>
        </w:rPr>
        <w:tab/>
      </w:r>
      <w:r w:rsidRPr="006518AE">
        <w:rPr>
          <w:szCs w:val="24"/>
          <w:lang w:eastAsia="hu-HU"/>
        </w:rPr>
        <w:t>f</w:t>
      </w:r>
      <w:r w:rsidR="00176257" w:rsidRPr="006518AE">
        <w:t>őépítés</w:t>
      </w:r>
      <w:r w:rsidR="00E55F80">
        <w:t>z</w:t>
      </w:r>
    </w:p>
    <w:tbl>
      <w:tblPr>
        <w:tblStyle w:val="Rcsostblzat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16"/>
        <w:gridCol w:w="2349"/>
        <w:gridCol w:w="816"/>
        <w:gridCol w:w="2135"/>
        <w:gridCol w:w="3943"/>
      </w:tblGrid>
      <w:tr w:rsidR="008E3FC6" w:rsidRPr="006124B2" w14:paraId="38A2B5E6" w14:textId="77777777" w:rsidTr="00BD76C3">
        <w:trPr>
          <w:cantSplit/>
          <w:tblHeader/>
        </w:trPr>
        <w:tc>
          <w:tcPr>
            <w:tcW w:w="264" w:type="pct"/>
            <w:shd w:val="clear" w:color="auto" w:fill="FFFFFF" w:themeFill="background1"/>
            <w:vAlign w:val="center"/>
          </w:tcPr>
          <w:p w14:paraId="1CB5659D" w14:textId="77777777" w:rsidR="008E3FC6" w:rsidRPr="006124B2" w:rsidRDefault="008E3FC6" w:rsidP="00BD76C3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Cs w:val="24"/>
                <w:lang w:eastAsia="hu-HU"/>
              </w:rPr>
            </w:pPr>
            <w:r w:rsidRPr="006124B2">
              <w:rPr>
                <w:b/>
                <w:szCs w:val="24"/>
                <w:lang w:eastAsia="hu-HU"/>
              </w:rPr>
              <w:lastRenderedPageBreak/>
              <w:t>s. sz.</w:t>
            </w:r>
          </w:p>
        </w:tc>
        <w:tc>
          <w:tcPr>
            <w:tcW w:w="1204" w:type="pct"/>
            <w:shd w:val="clear" w:color="auto" w:fill="FFFFFF" w:themeFill="background1"/>
            <w:vAlign w:val="center"/>
          </w:tcPr>
          <w:p w14:paraId="7608067B" w14:textId="77777777" w:rsidR="008E3FC6" w:rsidRPr="006124B2" w:rsidRDefault="008E3FC6" w:rsidP="00BD76C3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Cs w:val="24"/>
                <w:lang w:eastAsia="hu-HU"/>
              </w:rPr>
            </w:pPr>
            <w:r w:rsidRPr="006124B2">
              <w:rPr>
                <w:b/>
                <w:szCs w:val="24"/>
                <w:lang w:eastAsia="hu-HU"/>
              </w:rPr>
              <w:t>Államigazgatási szerv</w:t>
            </w:r>
          </w:p>
        </w:tc>
        <w:tc>
          <w:tcPr>
            <w:tcW w:w="1512" w:type="pct"/>
            <w:gridSpan w:val="2"/>
            <w:shd w:val="clear" w:color="auto" w:fill="FFFFFF" w:themeFill="background1"/>
            <w:vAlign w:val="center"/>
          </w:tcPr>
          <w:p w14:paraId="2CEDA3B5" w14:textId="77777777" w:rsidR="008E3FC6" w:rsidRPr="006124B2" w:rsidRDefault="008E3FC6" w:rsidP="00BD76C3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Cs w:val="24"/>
                <w:lang w:eastAsia="hu-HU"/>
              </w:rPr>
            </w:pPr>
            <w:r w:rsidRPr="006124B2">
              <w:rPr>
                <w:b/>
              </w:rPr>
              <w:t>2/2005. (I.11.) korm.r 3</w:t>
            </w:r>
            <w:proofErr w:type="gramStart"/>
            <w:r w:rsidRPr="006124B2">
              <w:rPr>
                <w:b/>
              </w:rPr>
              <w:t>.sz.</w:t>
            </w:r>
            <w:proofErr w:type="gramEnd"/>
            <w:r w:rsidRPr="006124B2">
              <w:rPr>
                <w:b/>
              </w:rPr>
              <w:t xml:space="preserve"> melléklet szerinti megnevezés</w:t>
            </w:r>
          </w:p>
        </w:tc>
        <w:tc>
          <w:tcPr>
            <w:tcW w:w="2020" w:type="pct"/>
            <w:shd w:val="clear" w:color="auto" w:fill="FFFFFF" w:themeFill="background1"/>
            <w:vAlign w:val="center"/>
          </w:tcPr>
          <w:p w14:paraId="33AE1685" w14:textId="77777777" w:rsidR="008E3FC6" w:rsidRPr="006124B2" w:rsidRDefault="008E3FC6" w:rsidP="00BD76C3">
            <w:pPr>
              <w:pStyle w:val="trobekezdes"/>
              <w:tabs>
                <w:tab w:val="left" w:pos="6128"/>
              </w:tabs>
              <w:spacing w:after="0"/>
              <w:jc w:val="center"/>
              <w:rPr>
                <w:b/>
                <w:sz w:val="22"/>
                <w:szCs w:val="24"/>
                <w:lang w:eastAsia="hu-HU"/>
              </w:rPr>
            </w:pPr>
            <w:r w:rsidRPr="006124B2">
              <w:rPr>
                <w:b/>
                <w:sz w:val="22"/>
                <w:szCs w:val="24"/>
                <w:lang w:eastAsia="hu-HU"/>
              </w:rPr>
              <w:t>Környezeti vizsgálat szükségessége</w:t>
            </w:r>
          </w:p>
        </w:tc>
      </w:tr>
      <w:tr w:rsidR="007903A1" w:rsidRPr="006124B2" w14:paraId="72EA00A2" w14:textId="77777777" w:rsidTr="007903A1">
        <w:trPr>
          <w:cantSplit/>
          <w:trHeight w:val="1035"/>
        </w:trPr>
        <w:tc>
          <w:tcPr>
            <w:tcW w:w="264" w:type="pct"/>
            <w:vMerge w:val="restart"/>
            <w:shd w:val="clear" w:color="auto" w:fill="FFFFFF" w:themeFill="background1"/>
          </w:tcPr>
          <w:p w14:paraId="5528FA44" w14:textId="77777777" w:rsidR="007903A1" w:rsidRPr="00EA6419" w:rsidRDefault="007903A1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>1.</w:t>
            </w:r>
          </w:p>
        </w:tc>
        <w:tc>
          <w:tcPr>
            <w:tcW w:w="1204" w:type="pct"/>
            <w:vMerge w:val="restart"/>
            <w:shd w:val="clear" w:color="auto" w:fill="auto"/>
          </w:tcPr>
          <w:p w14:paraId="2015E802" w14:textId="77777777" w:rsidR="007903A1" w:rsidRPr="00EA6419" w:rsidRDefault="007903A1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EA6419">
              <w:t>Pest Vármegyei Kormányhivatal Környezetvédelmi, Természetvédelmi és Hulladékgazdálkodási Főosztály</w:t>
            </w:r>
          </w:p>
        </w:tc>
        <w:tc>
          <w:tcPr>
            <w:tcW w:w="418" w:type="pct"/>
            <w:shd w:val="clear" w:color="auto" w:fill="auto"/>
          </w:tcPr>
          <w:p w14:paraId="541FA65A" w14:textId="77777777" w:rsidR="007903A1" w:rsidRPr="00EA6419" w:rsidRDefault="007903A1" w:rsidP="00BD76C3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EA6419">
              <w:rPr>
                <w:sz w:val="20"/>
              </w:rPr>
              <w:t>II.1</w:t>
            </w:r>
            <w:proofErr w:type="gramStart"/>
            <w:r w:rsidRPr="00EA6419">
              <w:rPr>
                <w:sz w:val="20"/>
              </w:rPr>
              <w:t>.a</w:t>
            </w:r>
            <w:proofErr w:type="gramEnd"/>
            <w:r w:rsidRPr="00EA6419">
              <w:rPr>
                <w:sz w:val="20"/>
              </w:rPr>
              <w:t>)</w:t>
            </w:r>
          </w:p>
          <w:p w14:paraId="03725E63" w14:textId="0374241E" w:rsidR="007903A1" w:rsidRPr="00EA6419" w:rsidRDefault="007903A1" w:rsidP="007903A1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</w:p>
        </w:tc>
        <w:tc>
          <w:tcPr>
            <w:tcW w:w="1094" w:type="pct"/>
            <w:shd w:val="clear" w:color="auto" w:fill="auto"/>
          </w:tcPr>
          <w:p w14:paraId="199A4D58" w14:textId="5019CB2C" w:rsidR="006D14A3" w:rsidRPr="00EA6419" w:rsidRDefault="007903A1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>a környezetvédelemre kiterjedően: a környezetvédelmi hatóság;</w:t>
            </w:r>
          </w:p>
          <w:p w14:paraId="559B9E48" w14:textId="2E352E75" w:rsidR="007903A1" w:rsidRPr="00EA6419" w:rsidRDefault="007903A1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20" w:type="pct"/>
            <w:vMerge w:val="restart"/>
            <w:shd w:val="clear" w:color="auto" w:fill="auto"/>
          </w:tcPr>
          <w:p w14:paraId="4E141156" w14:textId="77777777" w:rsidR="007903A1" w:rsidRPr="00EA6419" w:rsidRDefault="007903A1" w:rsidP="00EE3DFC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4"/>
                <w:lang w:eastAsia="hu-HU"/>
              </w:rPr>
            </w:pPr>
            <w:r w:rsidRPr="00EA6419">
              <w:rPr>
                <w:sz w:val="22"/>
                <w:u w:val="single"/>
              </w:rPr>
              <w:t>Nem tartja szükségesnek környezeti vizsgálat lefolytatását:</w:t>
            </w:r>
            <w:r w:rsidRPr="00EA6419">
              <w:rPr>
                <w:i/>
                <w:sz w:val="22"/>
              </w:rPr>
              <w:t xml:space="preserve"> „… Az előzetes tájékoztatásban foglaltak alapján a településrendezési eszközök módosításának céljait tekintve előre láthatóan jelentős környezeti hatás nem várható …”</w:t>
            </w:r>
          </w:p>
        </w:tc>
      </w:tr>
      <w:tr w:rsidR="007903A1" w:rsidRPr="006124B2" w14:paraId="1745514C" w14:textId="77777777" w:rsidTr="00BD76C3">
        <w:trPr>
          <w:cantSplit/>
          <w:trHeight w:val="1035"/>
        </w:trPr>
        <w:tc>
          <w:tcPr>
            <w:tcW w:w="264" w:type="pct"/>
            <w:vMerge/>
            <w:shd w:val="clear" w:color="auto" w:fill="FFFFFF" w:themeFill="background1"/>
          </w:tcPr>
          <w:p w14:paraId="4D64825E" w14:textId="77777777" w:rsidR="007903A1" w:rsidRPr="00EA6419" w:rsidRDefault="007903A1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</w:p>
        </w:tc>
        <w:tc>
          <w:tcPr>
            <w:tcW w:w="1204" w:type="pct"/>
            <w:vMerge/>
            <w:shd w:val="clear" w:color="auto" w:fill="auto"/>
          </w:tcPr>
          <w:p w14:paraId="23EA2FAF" w14:textId="77777777" w:rsidR="007903A1" w:rsidRPr="00EA6419" w:rsidRDefault="007903A1" w:rsidP="00BD76C3">
            <w:pPr>
              <w:pStyle w:val="trobekezdes"/>
              <w:tabs>
                <w:tab w:val="left" w:pos="6128"/>
              </w:tabs>
              <w:spacing w:after="0"/>
              <w:jc w:val="left"/>
            </w:pPr>
          </w:p>
        </w:tc>
        <w:tc>
          <w:tcPr>
            <w:tcW w:w="418" w:type="pct"/>
            <w:shd w:val="clear" w:color="auto" w:fill="auto"/>
          </w:tcPr>
          <w:p w14:paraId="6A3416C0" w14:textId="4E969F90" w:rsidR="007903A1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EA6419">
              <w:rPr>
                <w:sz w:val="20"/>
              </w:rPr>
              <w:t>II.1</w:t>
            </w:r>
            <w:proofErr w:type="gramStart"/>
            <w:r w:rsidRPr="00EA6419">
              <w:rPr>
                <w:sz w:val="20"/>
              </w:rPr>
              <w:t>.e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6B59BD35" w14:textId="4943FBA5" w:rsidR="007903A1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>a hulladékgazdálkodásra kiterjedően: az illetékes hulladékgazdálkodási hatóság</w:t>
            </w:r>
          </w:p>
        </w:tc>
        <w:tc>
          <w:tcPr>
            <w:tcW w:w="2020" w:type="pct"/>
            <w:vMerge/>
            <w:shd w:val="clear" w:color="auto" w:fill="auto"/>
          </w:tcPr>
          <w:p w14:paraId="6CBC84F3" w14:textId="77777777" w:rsidR="007903A1" w:rsidRPr="00EA6419" w:rsidRDefault="007903A1" w:rsidP="00EE3DFC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u w:val="single"/>
              </w:rPr>
            </w:pPr>
          </w:p>
        </w:tc>
      </w:tr>
      <w:tr w:rsidR="008E3FC6" w:rsidRPr="006124B2" w14:paraId="66588DF0" w14:textId="77777777" w:rsidTr="00BD76C3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16273260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>2.</w:t>
            </w:r>
          </w:p>
        </w:tc>
        <w:tc>
          <w:tcPr>
            <w:tcW w:w="1204" w:type="pct"/>
            <w:shd w:val="clear" w:color="auto" w:fill="FFFFFF" w:themeFill="background1"/>
          </w:tcPr>
          <w:p w14:paraId="78C45986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EA6419">
              <w:t>Duna-Ipoly Nemzeti Park Igazgatóság</w:t>
            </w:r>
          </w:p>
        </w:tc>
        <w:tc>
          <w:tcPr>
            <w:tcW w:w="418" w:type="pct"/>
            <w:shd w:val="clear" w:color="auto" w:fill="FFFFFF" w:themeFill="background1"/>
          </w:tcPr>
          <w:p w14:paraId="1FAB62EA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II.1</w:t>
            </w:r>
            <w:proofErr w:type="gramStart"/>
            <w:r w:rsidRPr="00EA6419">
              <w:rPr>
                <w:sz w:val="20"/>
              </w:rPr>
              <w:t>.b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0CFE80F4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>b) természet- és tájvédelemre kiterjedően: a nemzeti park igazgatóság és a természetvédelmi hatóság;</w:t>
            </w:r>
          </w:p>
        </w:tc>
        <w:tc>
          <w:tcPr>
            <w:tcW w:w="2020" w:type="pct"/>
            <w:shd w:val="clear" w:color="auto" w:fill="FFFFFF" w:themeFill="background1"/>
          </w:tcPr>
          <w:p w14:paraId="1AA5D13B" w14:textId="77777777" w:rsidR="008E3FC6" w:rsidRPr="00EA6419" w:rsidRDefault="008E3FC6" w:rsidP="00EE3DFC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4"/>
                <w:lang w:eastAsia="hu-HU"/>
              </w:rPr>
            </w:pPr>
            <w:r w:rsidRPr="00EA6419">
              <w:rPr>
                <w:sz w:val="22"/>
                <w:u w:val="single"/>
              </w:rPr>
              <w:t>Nem tartja szükségesnek környezeti vizsgálat lefolytatását.</w:t>
            </w:r>
            <w:r w:rsidRPr="00EA6419">
              <w:rPr>
                <w:sz w:val="22"/>
              </w:rPr>
              <w:t xml:space="preserve"> </w:t>
            </w:r>
          </w:p>
        </w:tc>
      </w:tr>
      <w:tr w:rsidR="006D14A3" w:rsidRPr="006124B2" w14:paraId="6117CB5A" w14:textId="77777777" w:rsidTr="006D14A3">
        <w:trPr>
          <w:cantSplit/>
          <w:trHeight w:val="923"/>
        </w:trPr>
        <w:tc>
          <w:tcPr>
            <w:tcW w:w="264" w:type="pct"/>
            <w:vMerge w:val="restart"/>
            <w:shd w:val="clear" w:color="auto" w:fill="FFFFFF" w:themeFill="background1"/>
          </w:tcPr>
          <w:p w14:paraId="6E4A114B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>3.</w:t>
            </w:r>
          </w:p>
        </w:tc>
        <w:tc>
          <w:tcPr>
            <w:tcW w:w="1204" w:type="pct"/>
            <w:vMerge w:val="restart"/>
            <w:shd w:val="clear" w:color="auto" w:fill="FFFFFF" w:themeFill="background1"/>
          </w:tcPr>
          <w:p w14:paraId="2A8653AC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EA6419">
              <w:t>Budapest Főváros Kormányhivatala- Népegészségügyi Főosztály</w:t>
            </w:r>
          </w:p>
        </w:tc>
        <w:tc>
          <w:tcPr>
            <w:tcW w:w="418" w:type="pct"/>
            <w:shd w:val="clear" w:color="auto" w:fill="FFFFFF" w:themeFill="background1"/>
          </w:tcPr>
          <w:p w14:paraId="7E44B6D6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II.1</w:t>
            </w:r>
            <w:proofErr w:type="gramStart"/>
            <w:r w:rsidRPr="00EA6419">
              <w:rPr>
                <w:sz w:val="20"/>
              </w:rPr>
              <w:t>.c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507F33DD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>c) környezet- és település-egészségügyre kiterjedően: közegészségügyi hatáskörében eljáró fővárosi és megyei kormányhivatal.</w:t>
            </w:r>
          </w:p>
          <w:p w14:paraId="2D272947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</w:p>
        </w:tc>
        <w:tc>
          <w:tcPr>
            <w:tcW w:w="2020" w:type="pct"/>
            <w:shd w:val="clear" w:color="auto" w:fill="FFFFFF" w:themeFill="background1"/>
          </w:tcPr>
          <w:p w14:paraId="5267543F" w14:textId="77777777" w:rsidR="006D14A3" w:rsidRPr="00EA6419" w:rsidRDefault="006D14A3" w:rsidP="00EE3DFC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4"/>
                <w:lang w:eastAsia="hu-HU"/>
              </w:rPr>
            </w:pPr>
            <w:r w:rsidRPr="00EA6419">
              <w:rPr>
                <w:bCs/>
              </w:rPr>
              <w:t xml:space="preserve">Közegészségügyi szempontból </w:t>
            </w:r>
            <w:r w:rsidRPr="00EA6419">
              <w:t xml:space="preserve">a környezeti vizsgálat elvégzését </w:t>
            </w:r>
            <w:r w:rsidRPr="00EA6419">
              <w:rPr>
                <w:bCs/>
                <w:u w:val="single"/>
              </w:rPr>
              <w:t>nem tartja szükségesnek</w:t>
            </w:r>
            <w:r w:rsidRPr="00EA6419">
              <w:t>.</w:t>
            </w:r>
          </w:p>
        </w:tc>
      </w:tr>
      <w:tr w:rsidR="006D14A3" w:rsidRPr="006124B2" w14:paraId="353E2CA4" w14:textId="77777777" w:rsidTr="00BD76C3">
        <w:trPr>
          <w:cantSplit/>
          <w:trHeight w:val="922"/>
        </w:trPr>
        <w:tc>
          <w:tcPr>
            <w:tcW w:w="264" w:type="pct"/>
            <w:vMerge/>
            <w:shd w:val="clear" w:color="auto" w:fill="FFFFFF" w:themeFill="background1"/>
          </w:tcPr>
          <w:p w14:paraId="4B7BB60F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</w:p>
        </w:tc>
        <w:tc>
          <w:tcPr>
            <w:tcW w:w="1204" w:type="pct"/>
            <w:vMerge/>
            <w:shd w:val="clear" w:color="auto" w:fill="FFFFFF" w:themeFill="background1"/>
          </w:tcPr>
          <w:p w14:paraId="64044500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jc w:val="left"/>
            </w:pPr>
          </w:p>
        </w:tc>
        <w:tc>
          <w:tcPr>
            <w:tcW w:w="418" w:type="pct"/>
            <w:shd w:val="clear" w:color="auto" w:fill="FFFFFF" w:themeFill="background1"/>
          </w:tcPr>
          <w:p w14:paraId="12D7EBE4" w14:textId="4C2B631A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 w:val="20"/>
              </w:rPr>
            </w:pPr>
            <w:r w:rsidRPr="00EA6419">
              <w:rPr>
                <w:sz w:val="20"/>
              </w:rPr>
              <w:t>II.2</w:t>
            </w:r>
            <w:proofErr w:type="gramStart"/>
            <w:r w:rsidRPr="00EA6419">
              <w:rPr>
                <w:sz w:val="20"/>
              </w:rPr>
              <w:t>.g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008149F9" w14:textId="3AF5856B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>g) a természetes gyógytényezők, gyógyhelyek természeti adottságainak védelmére kiterjedően: a népegészségügyi feladatkörében eljáró Budapest Főváros Kormányhivatala;</w:t>
            </w:r>
          </w:p>
        </w:tc>
        <w:tc>
          <w:tcPr>
            <w:tcW w:w="2020" w:type="pct"/>
            <w:shd w:val="clear" w:color="auto" w:fill="FFFFFF" w:themeFill="background1"/>
          </w:tcPr>
          <w:p w14:paraId="7AFF7526" w14:textId="5550840D" w:rsidR="006D14A3" w:rsidRPr="00EA6419" w:rsidRDefault="00DD6E59" w:rsidP="00EE3DFC">
            <w:pPr>
              <w:pStyle w:val="trobekezdes"/>
              <w:tabs>
                <w:tab w:val="left" w:pos="6128"/>
              </w:tabs>
              <w:spacing w:after="0"/>
              <w:rPr>
                <w:bCs/>
              </w:rPr>
            </w:pPr>
            <w:r w:rsidRPr="00EA6419">
              <w:rPr>
                <w:bCs/>
              </w:rPr>
              <w:t xml:space="preserve">Környezeti vizsgálat elvégzését nem tartja szükségesnek. Ugyanakkor a gyógyvizes kút védőterületét, védőidomát a kerület településrendezési eszközeinek módosítása során figyelembe kell venni. </w:t>
            </w:r>
          </w:p>
        </w:tc>
      </w:tr>
      <w:tr w:rsidR="006D14A3" w:rsidRPr="006124B2" w14:paraId="7B199188" w14:textId="77777777" w:rsidTr="00BD76C3">
        <w:trPr>
          <w:cantSplit/>
        </w:trPr>
        <w:tc>
          <w:tcPr>
            <w:tcW w:w="264" w:type="pct"/>
            <w:vMerge w:val="restart"/>
            <w:shd w:val="clear" w:color="auto" w:fill="FFFFFF" w:themeFill="background1"/>
          </w:tcPr>
          <w:p w14:paraId="3C346869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>4.</w:t>
            </w:r>
          </w:p>
          <w:p w14:paraId="68E12D0F" w14:textId="0EB77788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</w:p>
        </w:tc>
        <w:tc>
          <w:tcPr>
            <w:tcW w:w="1204" w:type="pct"/>
            <w:vMerge w:val="restart"/>
            <w:shd w:val="clear" w:color="auto" w:fill="FFFFFF" w:themeFill="background1"/>
          </w:tcPr>
          <w:p w14:paraId="4A141017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jc w:val="left"/>
            </w:pPr>
            <w:r w:rsidRPr="00EA6419">
              <w:t xml:space="preserve">Fővárosi Katasztrófavédelmi Igazgatóság; Igazgatóhelyettesi Szervezet, </w:t>
            </w:r>
            <w:r w:rsidRPr="00EA6419">
              <w:lastRenderedPageBreak/>
              <w:t>Katasztrófavédelmi Hatósági Osztály</w:t>
            </w:r>
          </w:p>
          <w:p w14:paraId="218A91D6" w14:textId="2F7156C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</w:pPr>
          </w:p>
        </w:tc>
        <w:tc>
          <w:tcPr>
            <w:tcW w:w="418" w:type="pct"/>
            <w:shd w:val="clear" w:color="auto" w:fill="FFFFFF" w:themeFill="background1"/>
          </w:tcPr>
          <w:p w14:paraId="5C097C1B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lastRenderedPageBreak/>
              <w:t>II.1</w:t>
            </w:r>
            <w:proofErr w:type="gramStart"/>
            <w:r w:rsidRPr="00EA6419">
              <w:rPr>
                <w:sz w:val="20"/>
              </w:rPr>
              <w:t>.d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72EB0EF1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 xml:space="preserve">d) a felszíni és a felszín alatti vizek minőségi és mennyiségi védelmére kiterjedően: a </w:t>
            </w:r>
            <w:r w:rsidRPr="00EA6419">
              <w:rPr>
                <w:sz w:val="20"/>
              </w:rPr>
              <w:lastRenderedPageBreak/>
              <w:t>vízvédelmi és vízügyi hatóság.</w:t>
            </w:r>
          </w:p>
        </w:tc>
        <w:tc>
          <w:tcPr>
            <w:tcW w:w="2020" w:type="pct"/>
            <w:shd w:val="clear" w:color="auto" w:fill="FFFFFF" w:themeFill="background1"/>
          </w:tcPr>
          <w:p w14:paraId="3EA92C69" w14:textId="4C67483F" w:rsidR="006D14A3" w:rsidRPr="00EA6419" w:rsidRDefault="00727351" w:rsidP="00EE3DFC">
            <w:pPr>
              <w:keepLines w:val="0"/>
              <w:suppressAutoHyphens w:val="0"/>
              <w:autoSpaceDE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Cs/>
                <w:i/>
                <w:sz w:val="21"/>
                <w:szCs w:val="21"/>
                <w:lang w:eastAsia="en-US"/>
              </w:rPr>
            </w:pPr>
            <w:r w:rsidRPr="00EA6419">
              <w:rPr>
                <w:sz w:val="22"/>
                <w:szCs w:val="24"/>
                <w:lang w:eastAsia="hu-HU"/>
              </w:rPr>
              <w:lastRenderedPageBreak/>
              <w:t>A véleményadásra megadott 15 napos határidőn belül környezeti vizsgálat lefolytatásával kapcsolatban észrevétel nem érkezett. A nyilatkozat kérésére adott válaszok befogadását 2024. február 8-án zártuk le.</w:t>
            </w:r>
          </w:p>
        </w:tc>
      </w:tr>
      <w:tr w:rsidR="006D14A3" w:rsidRPr="006124B2" w14:paraId="3D5E88EE" w14:textId="77777777" w:rsidTr="00BD76C3">
        <w:trPr>
          <w:cantSplit/>
        </w:trPr>
        <w:tc>
          <w:tcPr>
            <w:tcW w:w="264" w:type="pct"/>
            <w:vMerge/>
            <w:shd w:val="clear" w:color="auto" w:fill="FFFFFF" w:themeFill="background1"/>
          </w:tcPr>
          <w:p w14:paraId="1EF102FF" w14:textId="366E3001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</w:p>
        </w:tc>
        <w:tc>
          <w:tcPr>
            <w:tcW w:w="1204" w:type="pct"/>
            <w:vMerge/>
            <w:shd w:val="clear" w:color="auto" w:fill="FFFFFF" w:themeFill="background1"/>
          </w:tcPr>
          <w:p w14:paraId="1F0CBC64" w14:textId="56D1CF8C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</w:pPr>
          </w:p>
        </w:tc>
        <w:tc>
          <w:tcPr>
            <w:tcW w:w="418" w:type="pct"/>
            <w:shd w:val="clear" w:color="auto" w:fill="FFFFFF" w:themeFill="background1"/>
          </w:tcPr>
          <w:p w14:paraId="46A4144E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II.2</w:t>
            </w:r>
            <w:proofErr w:type="gramStart"/>
            <w:r w:rsidRPr="00EA6419">
              <w:rPr>
                <w:sz w:val="20"/>
              </w:rPr>
              <w:t>.j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1FABD538" w14:textId="77777777" w:rsidR="006D14A3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j) súlyos ipari balesetek megelőzésére kiterjedően: a megyei, fővárosi katasztrófavédelmi igazgatóság.</w:t>
            </w:r>
          </w:p>
        </w:tc>
        <w:tc>
          <w:tcPr>
            <w:tcW w:w="2020" w:type="pct"/>
            <w:shd w:val="clear" w:color="auto" w:fill="FFFFFF" w:themeFill="background1"/>
          </w:tcPr>
          <w:p w14:paraId="1E1F99DE" w14:textId="1DDB722F" w:rsidR="006D14A3" w:rsidRPr="00EA6419" w:rsidRDefault="006D14A3" w:rsidP="00EE3DFC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4"/>
                <w:lang w:eastAsia="hu-HU"/>
              </w:rPr>
            </w:pPr>
            <w:r w:rsidRPr="00EA6419">
              <w:rPr>
                <w:sz w:val="22"/>
                <w:szCs w:val="24"/>
                <w:lang w:eastAsia="hu-HU"/>
              </w:rPr>
              <w:t>A véleményadásra megadott 15 napos határidőn belül környezeti vizsgálat lefolytatásával kapcsolatban észrevétel nem érkezett. A nyilatkozat kérésére adott válaszok befogadását 202</w:t>
            </w:r>
            <w:r w:rsidR="00727351" w:rsidRPr="00EA6419">
              <w:rPr>
                <w:sz w:val="22"/>
                <w:szCs w:val="24"/>
                <w:lang w:eastAsia="hu-HU"/>
              </w:rPr>
              <w:t>4</w:t>
            </w:r>
            <w:r w:rsidRPr="00EA6419">
              <w:rPr>
                <w:sz w:val="22"/>
                <w:szCs w:val="24"/>
                <w:lang w:eastAsia="hu-HU"/>
              </w:rPr>
              <w:t xml:space="preserve">. </w:t>
            </w:r>
            <w:r w:rsidR="00727351" w:rsidRPr="00EA6419">
              <w:rPr>
                <w:sz w:val="22"/>
                <w:szCs w:val="24"/>
                <w:lang w:eastAsia="hu-HU"/>
              </w:rPr>
              <w:t>február 8-á</w:t>
            </w:r>
            <w:r w:rsidRPr="00EA6419">
              <w:rPr>
                <w:sz w:val="22"/>
                <w:szCs w:val="24"/>
                <w:lang w:eastAsia="hu-HU"/>
              </w:rPr>
              <w:t>n zártuk le.</w:t>
            </w:r>
          </w:p>
        </w:tc>
      </w:tr>
      <w:tr w:rsidR="008E3FC6" w:rsidRPr="006124B2" w14:paraId="651B17EC" w14:textId="77777777" w:rsidTr="00BD76C3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6EB7DD89" w14:textId="62B22D42" w:rsidR="008E3FC6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>5</w:t>
            </w:r>
            <w:r w:rsidR="008E3FC6" w:rsidRPr="00EA6419">
              <w:rPr>
                <w:szCs w:val="24"/>
                <w:lang w:eastAsia="hu-HU"/>
              </w:rPr>
              <w:t>.</w:t>
            </w:r>
          </w:p>
        </w:tc>
        <w:tc>
          <w:tcPr>
            <w:tcW w:w="1204" w:type="pct"/>
            <w:shd w:val="clear" w:color="auto" w:fill="auto"/>
          </w:tcPr>
          <w:p w14:paraId="1EBAD120" w14:textId="3248ECA0" w:rsidR="008E3FC6" w:rsidRPr="00EA6419" w:rsidRDefault="008E3FC6" w:rsidP="006D14A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 xml:space="preserve">Budapest Főváros </w:t>
            </w:r>
            <w:r w:rsidR="006D14A3" w:rsidRPr="00EA6419">
              <w:rPr>
                <w:szCs w:val="24"/>
                <w:lang w:eastAsia="hu-HU"/>
              </w:rPr>
              <w:t>Önkormányzata</w:t>
            </w:r>
          </w:p>
        </w:tc>
        <w:tc>
          <w:tcPr>
            <w:tcW w:w="418" w:type="pct"/>
            <w:shd w:val="clear" w:color="auto" w:fill="auto"/>
          </w:tcPr>
          <w:p w14:paraId="7FF571F1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II.2</w:t>
            </w:r>
            <w:proofErr w:type="gramStart"/>
            <w:r w:rsidRPr="00EA6419">
              <w:rPr>
                <w:sz w:val="20"/>
              </w:rPr>
              <w:t>.a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06212909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a) helyi környezet- és természetvédelemre kiterjedően: a települési önkormányzat jegyzője;</w:t>
            </w:r>
          </w:p>
        </w:tc>
        <w:tc>
          <w:tcPr>
            <w:tcW w:w="2020" w:type="pct"/>
            <w:shd w:val="clear" w:color="auto" w:fill="auto"/>
          </w:tcPr>
          <w:p w14:paraId="412FE2C3" w14:textId="09DD228B" w:rsidR="008E3FC6" w:rsidRPr="00EA6419" w:rsidRDefault="00727351" w:rsidP="00EE3DFC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4"/>
                <w:lang w:eastAsia="hu-HU"/>
              </w:rPr>
            </w:pPr>
            <w:r w:rsidRPr="00EA6419">
              <w:rPr>
                <w:sz w:val="22"/>
              </w:rPr>
              <w:t>A véleményadásra megadott 15 napos határidőn belül környezeti vizsgálat lefolytatásával kapcsolatban észrevétel nem érkezett. A nyilatkozat kérésére adott válaszok befogadását 2024. február 8-án zártuk le.</w:t>
            </w:r>
          </w:p>
        </w:tc>
      </w:tr>
      <w:tr w:rsidR="008E3FC6" w:rsidRPr="006124B2" w14:paraId="50BF9A32" w14:textId="77777777" w:rsidTr="00BD76C3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5B71A4B4" w14:textId="528A5D9C" w:rsidR="008E3FC6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>6</w:t>
            </w:r>
            <w:r w:rsidR="008E3FC6" w:rsidRPr="00EA6419">
              <w:rPr>
                <w:szCs w:val="24"/>
                <w:lang w:eastAsia="hu-HU"/>
              </w:rPr>
              <w:t>.</w:t>
            </w:r>
          </w:p>
        </w:tc>
        <w:tc>
          <w:tcPr>
            <w:tcW w:w="1204" w:type="pct"/>
            <w:shd w:val="clear" w:color="auto" w:fill="FFFFFF" w:themeFill="background1"/>
          </w:tcPr>
          <w:p w14:paraId="31C883C7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EA6419">
              <w:t>Budapest Főváros Kormányhivatala Állami Főépítészi Iroda</w:t>
            </w:r>
          </w:p>
        </w:tc>
        <w:tc>
          <w:tcPr>
            <w:tcW w:w="418" w:type="pct"/>
            <w:shd w:val="clear" w:color="auto" w:fill="FFFFFF" w:themeFill="background1"/>
          </w:tcPr>
          <w:p w14:paraId="747442D4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II.2</w:t>
            </w:r>
            <w:proofErr w:type="gramStart"/>
            <w:r w:rsidRPr="00EA6419">
              <w:rPr>
                <w:sz w:val="20"/>
              </w:rPr>
              <w:t>.b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2B34C18B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>b) az épített környezet védelmére kiterjedően: az állami főépítészi hatáskörében eljáró fővárosi és megyei kormányhivatal;</w:t>
            </w:r>
          </w:p>
        </w:tc>
        <w:tc>
          <w:tcPr>
            <w:tcW w:w="2020" w:type="pct"/>
            <w:shd w:val="clear" w:color="auto" w:fill="FFFFFF" w:themeFill="background1"/>
          </w:tcPr>
          <w:p w14:paraId="21F1B529" w14:textId="12171C5C" w:rsidR="008E3FC6" w:rsidRPr="00EA6419" w:rsidRDefault="008E3FC6" w:rsidP="00EE3DFC">
            <w:pPr>
              <w:pStyle w:val="trobekezdes"/>
              <w:tabs>
                <w:tab w:val="left" w:pos="6128"/>
              </w:tabs>
              <w:spacing w:after="0"/>
              <w:rPr>
                <w:i/>
                <w:sz w:val="22"/>
                <w:szCs w:val="24"/>
                <w:lang w:eastAsia="hu-HU"/>
              </w:rPr>
            </w:pPr>
            <w:r w:rsidRPr="00EA6419">
              <w:rPr>
                <w:sz w:val="22"/>
                <w:szCs w:val="24"/>
                <w:lang w:eastAsia="hu-HU"/>
              </w:rPr>
              <w:t xml:space="preserve">A környezeti vizsgálat készítését </w:t>
            </w:r>
            <w:r w:rsidRPr="00EA6419">
              <w:rPr>
                <w:sz w:val="22"/>
                <w:szCs w:val="24"/>
                <w:u w:val="single"/>
                <w:lang w:eastAsia="hu-HU"/>
              </w:rPr>
              <w:t xml:space="preserve">nem tartja szükségesnek: </w:t>
            </w:r>
            <w:r w:rsidR="00EE3DFC" w:rsidRPr="00EA6419">
              <w:rPr>
                <w:i/>
                <w:sz w:val="22"/>
                <w:szCs w:val="24"/>
                <w:lang w:eastAsia="hu-HU"/>
              </w:rPr>
              <w:t>„Mivel azonban a tervezési terület Budapest világörökségi területének közvetlenül határos, ezért kérem, hogy a véleményezési dokumentáció alátámasztó munkarésze térjen ki a tervezett szabályozás világörökségre gyakorolt hatásainak bemutatására</w:t>
            </w:r>
            <w:proofErr w:type="gramStart"/>
            <w:r w:rsidR="00EE3DFC" w:rsidRPr="00EA6419">
              <w:rPr>
                <w:i/>
                <w:sz w:val="22"/>
                <w:szCs w:val="24"/>
                <w:lang w:eastAsia="hu-HU"/>
              </w:rPr>
              <w:t>.</w:t>
            </w:r>
            <w:r w:rsidRPr="00EA6419">
              <w:rPr>
                <w:i/>
                <w:sz w:val="22"/>
                <w:szCs w:val="24"/>
                <w:lang w:eastAsia="hu-HU"/>
              </w:rPr>
              <w:t>.</w:t>
            </w:r>
            <w:proofErr w:type="gramEnd"/>
            <w:r w:rsidRPr="00EA6419">
              <w:rPr>
                <w:i/>
                <w:sz w:val="22"/>
                <w:szCs w:val="24"/>
                <w:lang w:eastAsia="hu-HU"/>
              </w:rPr>
              <w:t>”</w:t>
            </w:r>
          </w:p>
        </w:tc>
      </w:tr>
      <w:tr w:rsidR="008E3FC6" w:rsidRPr="006124B2" w14:paraId="67657438" w14:textId="77777777" w:rsidTr="00BD76C3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618B41C2" w14:textId="33ACA22C" w:rsidR="008E3FC6" w:rsidRPr="00EA6419" w:rsidRDefault="006D14A3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>7</w:t>
            </w:r>
            <w:r w:rsidR="008E3FC6" w:rsidRPr="00EA6419">
              <w:rPr>
                <w:szCs w:val="24"/>
                <w:lang w:eastAsia="hu-HU"/>
              </w:rPr>
              <w:t>.</w:t>
            </w:r>
          </w:p>
        </w:tc>
        <w:tc>
          <w:tcPr>
            <w:tcW w:w="1204" w:type="pct"/>
            <w:shd w:val="clear" w:color="auto" w:fill="FFFFFF" w:themeFill="background1"/>
          </w:tcPr>
          <w:p w14:paraId="3666A843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EA6419">
              <w:t>Pest Vármegyei Kormányhivatal Földművelésügyi és Erdészeti Főosztály</w:t>
            </w:r>
          </w:p>
        </w:tc>
        <w:tc>
          <w:tcPr>
            <w:tcW w:w="418" w:type="pct"/>
            <w:shd w:val="clear" w:color="auto" w:fill="FFFFFF" w:themeFill="background1"/>
          </w:tcPr>
          <w:p w14:paraId="1B51E4B0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II.2</w:t>
            </w:r>
            <w:proofErr w:type="gramStart"/>
            <w:r w:rsidRPr="00EA6419">
              <w:rPr>
                <w:sz w:val="20"/>
              </w:rPr>
              <w:t>.c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2FBEFF51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>c) erdővédelemre kiterjedően: az erdészeti hatáskörben eljáró megyei kormányhivatal;</w:t>
            </w:r>
          </w:p>
        </w:tc>
        <w:tc>
          <w:tcPr>
            <w:tcW w:w="2020" w:type="pct"/>
            <w:shd w:val="clear" w:color="auto" w:fill="FFFFFF" w:themeFill="background1"/>
          </w:tcPr>
          <w:p w14:paraId="4D5595ED" w14:textId="301A94D9" w:rsidR="008E3FC6" w:rsidRPr="00EA6419" w:rsidRDefault="00727351" w:rsidP="00EE3DFC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4"/>
                <w:lang w:eastAsia="hu-HU"/>
              </w:rPr>
            </w:pPr>
            <w:r w:rsidRPr="00EA6419">
              <w:rPr>
                <w:sz w:val="22"/>
              </w:rPr>
              <w:t>A véleményadásra megadott 15 napos határidőn belül környezeti vizsgálat lefolytatásával kapcsolatban észrevétel nem érkezett. A nyilatkozat kérésére adott válaszok befogadását 2024. február 8-án zártuk le.</w:t>
            </w:r>
          </w:p>
        </w:tc>
      </w:tr>
      <w:tr w:rsidR="008E3FC6" w:rsidRPr="006124B2" w14:paraId="2DF81799" w14:textId="77777777" w:rsidTr="00BD76C3">
        <w:trPr>
          <w:cantSplit/>
        </w:trPr>
        <w:tc>
          <w:tcPr>
            <w:tcW w:w="264" w:type="pct"/>
            <w:shd w:val="clear" w:color="auto" w:fill="auto"/>
          </w:tcPr>
          <w:p w14:paraId="3A28815B" w14:textId="6B50DDB8" w:rsidR="008E3FC6" w:rsidRPr="00EA6419" w:rsidRDefault="003B1EF1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>8</w:t>
            </w:r>
            <w:r w:rsidR="008E3FC6" w:rsidRPr="00EA6419">
              <w:rPr>
                <w:szCs w:val="24"/>
                <w:lang w:eastAsia="hu-HU"/>
              </w:rPr>
              <w:t>.</w:t>
            </w:r>
          </w:p>
        </w:tc>
        <w:tc>
          <w:tcPr>
            <w:tcW w:w="1204" w:type="pct"/>
            <w:shd w:val="clear" w:color="auto" w:fill="auto"/>
          </w:tcPr>
          <w:p w14:paraId="3EF740F2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EA6419">
              <w:t>Pest Vármegyei Kormányhivatal, Élelmiszerlánc-biztonsági, Állategészségügyi, Növény- és Talajvédelmi Főosztály</w:t>
            </w:r>
          </w:p>
        </w:tc>
        <w:tc>
          <w:tcPr>
            <w:tcW w:w="418" w:type="pct"/>
            <w:shd w:val="clear" w:color="auto" w:fill="auto"/>
          </w:tcPr>
          <w:p w14:paraId="2E83694B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II.2</w:t>
            </w:r>
            <w:proofErr w:type="gramStart"/>
            <w:r w:rsidRPr="00EA6419">
              <w:rPr>
                <w:sz w:val="20"/>
              </w:rPr>
              <w:t>.d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026B32DF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>d) talajvédelemre kiterjedően: a talajvédelmi hatáskörben eljáró megyei kormányhivatal;</w:t>
            </w:r>
          </w:p>
        </w:tc>
        <w:tc>
          <w:tcPr>
            <w:tcW w:w="2020" w:type="pct"/>
            <w:shd w:val="clear" w:color="auto" w:fill="auto"/>
          </w:tcPr>
          <w:p w14:paraId="658B5992" w14:textId="77777777" w:rsidR="008E3FC6" w:rsidRPr="00EA6419" w:rsidRDefault="008E3FC6" w:rsidP="00EE3DFC">
            <w:pPr>
              <w:pStyle w:val="trobekezdes"/>
              <w:tabs>
                <w:tab w:val="left" w:pos="6128"/>
              </w:tabs>
              <w:spacing w:after="0"/>
              <w:rPr>
                <w:sz w:val="22"/>
              </w:rPr>
            </w:pPr>
            <w:r w:rsidRPr="00EA6419">
              <w:rPr>
                <w:i/>
                <w:sz w:val="22"/>
              </w:rPr>
              <w:t xml:space="preserve">„A talaj minőségi védelme </w:t>
            </w:r>
            <w:proofErr w:type="gramStart"/>
            <w:r w:rsidRPr="00EA6419">
              <w:rPr>
                <w:i/>
                <w:sz w:val="22"/>
              </w:rPr>
              <w:t>szempontjából …</w:t>
            </w:r>
            <w:proofErr w:type="gramEnd"/>
            <w:r w:rsidRPr="00EA6419">
              <w:rPr>
                <w:i/>
                <w:sz w:val="22"/>
              </w:rPr>
              <w:t>”</w:t>
            </w:r>
            <w:r w:rsidRPr="00EA6419">
              <w:rPr>
                <w:sz w:val="22"/>
              </w:rPr>
              <w:t xml:space="preserve"> </w:t>
            </w:r>
            <w:r w:rsidRPr="00EA6419">
              <w:rPr>
                <w:sz w:val="22"/>
                <w:u w:val="single"/>
              </w:rPr>
              <w:t xml:space="preserve">nem tartja szükségesnek </w:t>
            </w:r>
            <w:r w:rsidRPr="00EA6419">
              <w:rPr>
                <w:sz w:val="22"/>
              </w:rPr>
              <w:t>környezeti hatásvizsgálat készítését.</w:t>
            </w:r>
          </w:p>
        </w:tc>
      </w:tr>
      <w:tr w:rsidR="008E3FC6" w:rsidRPr="006124B2" w14:paraId="19D3F168" w14:textId="77777777" w:rsidTr="00BD76C3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21AE2618" w14:textId="52484387" w:rsidR="008E3FC6" w:rsidRPr="00EA6419" w:rsidRDefault="003B1EF1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lastRenderedPageBreak/>
              <w:t>9</w:t>
            </w:r>
            <w:r w:rsidR="008E3FC6" w:rsidRPr="00EA6419">
              <w:rPr>
                <w:szCs w:val="24"/>
                <w:lang w:eastAsia="hu-HU"/>
              </w:rPr>
              <w:t>.</w:t>
            </w:r>
          </w:p>
        </w:tc>
        <w:tc>
          <w:tcPr>
            <w:tcW w:w="1204" w:type="pct"/>
            <w:shd w:val="clear" w:color="auto" w:fill="FFFFFF" w:themeFill="background1"/>
          </w:tcPr>
          <w:p w14:paraId="30F83492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EA6419">
              <w:t>Budapest Főváros Kormányhivatala Földhivatali Főosztály</w:t>
            </w:r>
          </w:p>
        </w:tc>
        <w:tc>
          <w:tcPr>
            <w:tcW w:w="418" w:type="pct"/>
            <w:shd w:val="clear" w:color="auto" w:fill="FFFFFF" w:themeFill="background1"/>
          </w:tcPr>
          <w:p w14:paraId="3D059450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II.2</w:t>
            </w:r>
            <w:proofErr w:type="gramStart"/>
            <w:r w:rsidRPr="00EA6419">
              <w:rPr>
                <w:sz w:val="20"/>
              </w:rPr>
              <w:t>.e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1A17A1A6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>e) a termőföld mennyiségi védelmére kiterjedően: a földvédelmi feladatkörében eljáró fővárosi és megyei kormányhivatal,</w:t>
            </w:r>
          </w:p>
        </w:tc>
        <w:tc>
          <w:tcPr>
            <w:tcW w:w="2020" w:type="pct"/>
            <w:shd w:val="clear" w:color="auto" w:fill="FFFFFF" w:themeFill="background1"/>
          </w:tcPr>
          <w:p w14:paraId="17A115F4" w14:textId="77777777" w:rsidR="008E3FC6" w:rsidRPr="00EA6419" w:rsidRDefault="008E3FC6" w:rsidP="00EE3DFC">
            <w:pPr>
              <w:pStyle w:val="trobekezdes"/>
              <w:tabs>
                <w:tab w:val="left" w:pos="6128"/>
              </w:tabs>
              <w:spacing w:after="0"/>
              <w:rPr>
                <w:i/>
                <w:sz w:val="22"/>
                <w:szCs w:val="24"/>
                <w:lang w:eastAsia="hu-HU"/>
              </w:rPr>
            </w:pPr>
            <w:r w:rsidRPr="00EA6419">
              <w:rPr>
                <w:rFonts w:eastAsiaTheme="minorHAnsi"/>
                <w:i/>
                <w:sz w:val="22"/>
                <w:szCs w:val="22"/>
              </w:rPr>
              <w:t xml:space="preserve">„A </w:t>
            </w:r>
            <w:proofErr w:type="spellStart"/>
            <w:r w:rsidRPr="00EA6419">
              <w:rPr>
                <w:rFonts w:eastAsiaTheme="minorHAnsi"/>
                <w:i/>
                <w:sz w:val="22"/>
                <w:szCs w:val="22"/>
              </w:rPr>
              <w:t>Tfvt</w:t>
            </w:r>
            <w:proofErr w:type="spellEnd"/>
            <w:r w:rsidRPr="00EA6419">
              <w:rPr>
                <w:rFonts w:eastAsiaTheme="minorHAnsi"/>
                <w:i/>
                <w:sz w:val="22"/>
                <w:szCs w:val="22"/>
              </w:rPr>
              <w:t xml:space="preserve">. termőföld mennyiségi védelmét biztosító rendelkezései között </w:t>
            </w:r>
            <w:r w:rsidRPr="00EA6419">
              <w:rPr>
                <w:rFonts w:eastAsiaTheme="minorHAnsi"/>
                <w:i/>
                <w:sz w:val="22"/>
                <w:szCs w:val="22"/>
                <w:u w:val="single"/>
              </w:rPr>
              <w:t xml:space="preserve">nem szerepel olyan jogszabályi követelmény, mely előírná </w:t>
            </w:r>
            <w:r w:rsidRPr="00EA6419">
              <w:rPr>
                <w:rFonts w:eastAsiaTheme="minorHAnsi"/>
                <w:i/>
                <w:sz w:val="22"/>
                <w:szCs w:val="22"/>
              </w:rPr>
              <w:t>a környezeti vizsgálat lefolytatását és a környezeti értékelés elkészítését.”</w:t>
            </w:r>
          </w:p>
        </w:tc>
      </w:tr>
      <w:tr w:rsidR="008E3FC6" w:rsidRPr="006124B2" w14:paraId="55B1D9A0" w14:textId="77777777" w:rsidTr="00BD76C3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72E0EC5C" w14:textId="4F9837B2" w:rsidR="008E3FC6" w:rsidRPr="00EA6419" w:rsidRDefault="003B1EF1" w:rsidP="00BD76C3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>10</w:t>
            </w:r>
            <w:r w:rsidR="008E3FC6" w:rsidRPr="00EA6419">
              <w:rPr>
                <w:szCs w:val="24"/>
                <w:lang w:eastAsia="hu-HU"/>
              </w:rPr>
              <w:t>.</w:t>
            </w:r>
          </w:p>
        </w:tc>
        <w:tc>
          <w:tcPr>
            <w:tcW w:w="1204" w:type="pct"/>
            <w:shd w:val="clear" w:color="auto" w:fill="auto"/>
          </w:tcPr>
          <w:p w14:paraId="39D86D7F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Cs w:val="24"/>
                <w:lang w:eastAsia="hu-HU"/>
              </w:rPr>
            </w:pPr>
            <w:r w:rsidRPr="00EA6419">
              <w:t>Szabályozott Tevékenységek Felügyeleti Hatósága</w:t>
            </w:r>
          </w:p>
        </w:tc>
        <w:tc>
          <w:tcPr>
            <w:tcW w:w="418" w:type="pct"/>
            <w:shd w:val="clear" w:color="auto" w:fill="auto"/>
          </w:tcPr>
          <w:p w14:paraId="3EED8684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II.2</w:t>
            </w:r>
            <w:proofErr w:type="gramStart"/>
            <w:r w:rsidRPr="00EA6419">
              <w:rPr>
                <w:sz w:val="20"/>
              </w:rPr>
              <w:t>.f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auto"/>
          </w:tcPr>
          <w:p w14:paraId="394E4694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f) földtani és ásványvagyon védelemre kiterjedően: Szabályozott Tevékenységek Felügyeleti Hatósága;</w:t>
            </w:r>
          </w:p>
        </w:tc>
        <w:tc>
          <w:tcPr>
            <w:tcW w:w="2020" w:type="pct"/>
            <w:shd w:val="clear" w:color="auto" w:fill="auto"/>
          </w:tcPr>
          <w:p w14:paraId="28DA31B6" w14:textId="1EF9DFEA" w:rsidR="008E3FC6" w:rsidRPr="00EA6419" w:rsidRDefault="000622D5" w:rsidP="00EE3DFC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4"/>
                <w:lang w:eastAsia="hu-HU"/>
              </w:rPr>
            </w:pPr>
            <w:r w:rsidRPr="000622D5">
              <w:rPr>
                <w:sz w:val="22"/>
                <w:szCs w:val="24"/>
                <w:lang w:eastAsia="hu-HU"/>
              </w:rPr>
              <w:t>A véleményadásra megadott 15 napos határidőn belül környezeti vizsgálat lefolytatásával kapcsolatban észrevétel nem érkezett. A nyilatkozat kérésére adott válaszok befogadását 2024. február 8-án zártuk le.</w:t>
            </w:r>
          </w:p>
        </w:tc>
      </w:tr>
      <w:tr w:rsidR="008E3FC6" w:rsidRPr="006124B2" w14:paraId="3054F17E" w14:textId="77777777" w:rsidTr="00BD76C3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503AFCA3" w14:textId="64DCC4AF" w:rsidR="008E3FC6" w:rsidRPr="00EA6419" w:rsidRDefault="008E3FC6" w:rsidP="003B1EF1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>1</w:t>
            </w:r>
            <w:r w:rsidR="003B1EF1" w:rsidRPr="00EA6419">
              <w:rPr>
                <w:szCs w:val="24"/>
                <w:lang w:eastAsia="hu-HU"/>
              </w:rPr>
              <w:t>1</w:t>
            </w:r>
            <w:r w:rsidRPr="00EA6419">
              <w:rPr>
                <w:szCs w:val="24"/>
                <w:lang w:eastAsia="hu-HU"/>
              </w:rPr>
              <w:t>.</w:t>
            </w:r>
          </w:p>
        </w:tc>
        <w:tc>
          <w:tcPr>
            <w:tcW w:w="1204" w:type="pct"/>
            <w:shd w:val="clear" w:color="auto" w:fill="FFFFFF" w:themeFill="background1"/>
          </w:tcPr>
          <w:p w14:paraId="01FAE99D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</w:pPr>
            <w:r w:rsidRPr="00EA6419">
              <w:t>Budapest Főváros Kormányhivatala Építésügyi és Örökségvédelmi Hivatal</w:t>
            </w:r>
          </w:p>
        </w:tc>
        <w:tc>
          <w:tcPr>
            <w:tcW w:w="418" w:type="pct"/>
            <w:shd w:val="clear" w:color="auto" w:fill="FFFFFF" w:themeFill="background1"/>
          </w:tcPr>
          <w:p w14:paraId="11E0CAD5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II.2</w:t>
            </w:r>
            <w:proofErr w:type="gramStart"/>
            <w:r w:rsidRPr="00EA6419">
              <w:rPr>
                <w:sz w:val="20"/>
              </w:rPr>
              <w:t>.h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77D219F4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>h) kulturális örökség (műemlékvédelem, régészet) védelmére kiterjedően: Budapest Főváros Kormányhivatala, kizárási feltétel fennállása esetén a kulturális örökség védelméért felelős miniszter;</w:t>
            </w:r>
          </w:p>
        </w:tc>
        <w:tc>
          <w:tcPr>
            <w:tcW w:w="2020" w:type="pct"/>
            <w:shd w:val="clear" w:color="auto" w:fill="FFFFFF" w:themeFill="background1"/>
          </w:tcPr>
          <w:p w14:paraId="523AAEE9" w14:textId="5C12FF95" w:rsidR="008E3FC6" w:rsidRPr="00EA6419" w:rsidRDefault="00DD6E59" w:rsidP="00EE3DFC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4"/>
                <w:lang w:eastAsia="hu-HU"/>
              </w:rPr>
            </w:pPr>
            <w:r w:rsidRPr="00EA6419">
              <w:rPr>
                <w:sz w:val="22"/>
                <w:u w:val="single"/>
              </w:rPr>
              <w:t>Nem tartja szükségesnek környezeti vizsgálat lefolytatását az alábbi kitétellel</w:t>
            </w:r>
            <w:r w:rsidR="00727351" w:rsidRPr="00EA6419">
              <w:rPr>
                <w:sz w:val="22"/>
                <w:u w:val="single"/>
              </w:rPr>
              <w:t xml:space="preserve"> régészeti és műemléki környezet része az érintett terület. továbbá a további hatósági eljárások során biztosítani kell az örökségvédelmi szempontok érvényesülését és a Hivatal állásfoglalását ki kell kérni.</w:t>
            </w:r>
          </w:p>
        </w:tc>
      </w:tr>
      <w:tr w:rsidR="008E3FC6" w:rsidRPr="006124B2" w14:paraId="30562BD2" w14:textId="77777777" w:rsidTr="00BD76C3">
        <w:trPr>
          <w:cantSplit/>
        </w:trPr>
        <w:tc>
          <w:tcPr>
            <w:tcW w:w="264" w:type="pct"/>
            <w:shd w:val="clear" w:color="auto" w:fill="FFFFFF" w:themeFill="background1"/>
          </w:tcPr>
          <w:p w14:paraId="45C1483D" w14:textId="33D92940" w:rsidR="008E3FC6" w:rsidRPr="00EA6419" w:rsidRDefault="008E3FC6" w:rsidP="003B1EF1">
            <w:pPr>
              <w:pStyle w:val="trobekezdes"/>
              <w:tabs>
                <w:tab w:val="left" w:pos="6128"/>
              </w:tabs>
              <w:spacing w:after="0"/>
              <w:rPr>
                <w:szCs w:val="24"/>
                <w:lang w:eastAsia="hu-HU"/>
              </w:rPr>
            </w:pPr>
            <w:r w:rsidRPr="00EA6419">
              <w:rPr>
                <w:szCs w:val="24"/>
                <w:lang w:eastAsia="hu-HU"/>
              </w:rPr>
              <w:t>1</w:t>
            </w:r>
            <w:r w:rsidR="003B1EF1" w:rsidRPr="00EA6419">
              <w:rPr>
                <w:szCs w:val="24"/>
                <w:lang w:eastAsia="hu-HU"/>
              </w:rPr>
              <w:t>2</w:t>
            </w:r>
            <w:r w:rsidRPr="00EA6419">
              <w:rPr>
                <w:szCs w:val="24"/>
                <w:lang w:eastAsia="hu-HU"/>
              </w:rPr>
              <w:t>.</w:t>
            </w:r>
          </w:p>
        </w:tc>
        <w:tc>
          <w:tcPr>
            <w:tcW w:w="1204" w:type="pct"/>
            <w:shd w:val="clear" w:color="auto" w:fill="FFFFFF" w:themeFill="background1"/>
          </w:tcPr>
          <w:p w14:paraId="22FD215B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</w:pPr>
            <w:r w:rsidRPr="00EA6419">
              <w:t>Nemzeti Népegészségügyi Központ</w:t>
            </w:r>
          </w:p>
        </w:tc>
        <w:tc>
          <w:tcPr>
            <w:tcW w:w="418" w:type="pct"/>
            <w:shd w:val="clear" w:color="auto" w:fill="FFFFFF" w:themeFill="background1"/>
          </w:tcPr>
          <w:p w14:paraId="63F567B0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  <w:lang w:eastAsia="hu-HU"/>
              </w:rPr>
            </w:pPr>
            <w:r w:rsidRPr="00EA6419">
              <w:rPr>
                <w:sz w:val="20"/>
              </w:rPr>
              <w:t>II.2</w:t>
            </w:r>
            <w:proofErr w:type="gramStart"/>
            <w:r w:rsidRPr="00EA6419">
              <w:rPr>
                <w:sz w:val="20"/>
              </w:rPr>
              <w:t>.i</w:t>
            </w:r>
            <w:proofErr w:type="gramEnd"/>
            <w:r w:rsidRPr="00EA6419">
              <w:rPr>
                <w:sz w:val="20"/>
              </w:rPr>
              <w:t>)</w:t>
            </w:r>
          </w:p>
        </w:tc>
        <w:tc>
          <w:tcPr>
            <w:tcW w:w="1094" w:type="pct"/>
            <w:shd w:val="clear" w:color="auto" w:fill="FFFFFF" w:themeFill="background1"/>
          </w:tcPr>
          <w:p w14:paraId="5897BDA7" w14:textId="77777777" w:rsidR="008E3FC6" w:rsidRPr="00EA6419" w:rsidRDefault="008E3FC6" w:rsidP="00BD76C3">
            <w:pPr>
              <w:pStyle w:val="trobekezdes"/>
              <w:tabs>
                <w:tab w:val="left" w:pos="6128"/>
              </w:tabs>
              <w:spacing w:after="0"/>
              <w:jc w:val="left"/>
              <w:rPr>
                <w:sz w:val="20"/>
              </w:rPr>
            </w:pPr>
            <w:r w:rsidRPr="00EA6419">
              <w:rPr>
                <w:sz w:val="20"/>
              </w:rPr>
              <w:t>i) kémiai biztonságra kiterjedően: az országos tisztifőorvos;</w:t>
            </w:r>
          </w:p>
        </w:tc>
        <w:tc>
          <w:tcPr>
            <w:tcW w:w="2020" w:type="pct"/>
            <w:shd w:val="clear" w:color="auto" w:fill="FFFFFF" w:themeFill="background1"/>
          </w:tcPr>
          <w:p w14:paraId="50538D07" w14:textId="77777777" w:rsidR="008E3FC6" w:rsidRPr="00EA6419" w:rsidRDefault="008E3FC6" w:rsidP="00EE3DFC">
            <w:pPr>
              <w:pStyle w:val="trobekezdes"/>
              <w:tabs>
                <w:tab w:val="left" w:pos="6128"/>
              </w:tabs>
              <w:spacing w:after="0"/>
              <w:rPr>
                <w:sz w:val="22"/>
                <w:szCs w:val="24"/>
                <w:lang w:eastAsia="hu-HU"/>
              </w:rPr>
            </w:pPr>
            <w:r w:rsidRPr="00EA6419">
              <w:rPr>
                <w:sz w:val="22"/>
                <w:szCs w:val="24"/>
                <w:lang w:eastAsia="hu-HU"/>
              </w:rPr>
              <w:t>Kéri, hogy kifogást nem emelő véleményezőnek tekintsük.</w:t>
            </w:r>
          </w:p>
        </w:tc>
      </w:tr>
    </w:tbl>
    <w:p w14:paraId="55287382" w14:textId="77777777" w:rsidR="008E3FC6" w:rsidRDefault="008E3FC6" w:rsidP="008E3FC6">
      <w:pPr>
        <w:pStyle w:val="trobekezdes"/>
        <w:tabs>
          <w:tab w:val="left" w:pos="6128"/>
        </w:tabs>
        <w:rPr>
          <w:szCs w:val="24"/>
          <w:lang w:eastAsia="hu-HU"/>
        </w:rPr>
        <w:sectPr w:rsidR="008E3FC6" w:rsidSect="008D0ABD"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docGrid w:linePitch="326"/>
        </w:sectPr>
      </w:pPr>
    </w:p>
    <w:p w14:paraId="3B0098D7" w14:textId="77777777" w:rsidR="00393891" w:rsidRDefault="00393891" w:rsidP="003D254A">
      <w:pPr>
        <w:pStyle w:val="lfej"/>
        <w:tabs>
          <w:tab w:val="clear" w:pos="4536"/>
          <w:tab w:val="clear" w:pos="9072"/>
        </w:tabs>
        <w:spacing w:line="264" w:lineRule="auto"/>
        <w:ind w:right="227"/>
        <w:rPr>
          <w:b/>
          <w:bCs/>
          <w:spacing w:val="100"/>
        </w:rPr>
      </w:pPr>
    </w:p>
    <w:sectPr w:rsidR="00393891" w:rsidSect="00BD63F4">
      <w:headerReference w:type="default" r:id="rId13"/>
      <w:footerReference w:type="first" r:id="rId14"/>
      <w:footnotePr>
        <w:numRestart w:val="eachPage"/>
      </w:footnotePr>
      <w:pgSz w:w="11907" w:h="16840" w:code="9"/>
      <w:pgMar w:top="720" w:right="720" w:bottom="720" w:left="1418" w:header="56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BF41F" w14:textId="77777777" w:rsidR="008F3F90" w:rsidRDefault="008F3F90">
      <w:r>
        <w:separator/>
      </w:r>
    </w:p>
  </w:endnote>
  <w:endnote w:type="continuationSeparator" w:id="0">
    <w:p w14:paraId="58FB2EE4" w14:textId="77777777" w:rsidR="008F3F90" w:rsidRDefault="008F3F90">
      <w:r>
        <w:continuationSeparator/>
      </w:r>
    </w:p>
  </w:endnote>
  <w:endnote w:type="continuationNotice" w:id="1">
    <w:p w14:paraId="19A359E5" w14:textId="77777777" w:rsidR="008F3F90" w:rsidRDefault="008F3F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572E7" w14:textId="0B5FEC9C" w:rsidR="008E3FC6" w:rsidRDefault="008E3FC6">
    <w:pPr>
      <w:pStyle w:val="llb"/>
      <w:jc w:val="center"/>
    </w:pPr>
  </w:p>
  <w:p w14:paraId="0625F1F2" w14:textId="77777777" w:rsidR="008E3FC6" w:rsidRDefault="008E3FC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34B4B" w14:textId="77777777" w:rsidR="008E3FC6" w:rsidRPr="00620FBA" w:rsidRDefault="008E3FC6" w:rsidP="00620FBA">
    <w:pPr>
      <w:pStyle w:val="llb"/>
      <w:jc w:val="center"/>
      <w:rPr>
        <w:lang w:val="hu-HU"/>
      </w:rPr>
    </w:pPr>
    <w:r>
      <w:rPr>
        <w:lang w:val="hu-HU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90AEA" w14:textId="77777777" w:rsidR="00B17796" w:rsidRPr="00620FBA" w:rsidRDefault="002F79E5" w:rsidP="00620FBA">
    <w:pPr>
      <w:pStyle w:val="llb"/>
      <w:jc w:val="center"/>
      <w:rPr>
        <w:lang w:val="hu-HU"/>
      </w:rPr>
    </w:pPr>
    <w:r>
      <w:rPr>
        <w:lang w:val="hu-HU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4FD35" w14:textId="77777777" w:rsidR="008F3F90" w:rsidRDefault="008F3F90">
      <w:r>
        <w:separator/>
      </w:r>
    </w:p>
  </w:footnote>
  <w:footnote w:type="continuationSeparator" w:id="0">
    <w:p w14:paraId="30DC7E8F" w14:textId="77777777" w:rsidR="008F3F90" w:rsidRDefault="008F3F90">
      <w:r>
        <w:continuationSeparator/>
      </w:r>
    </w:p>
  </w:footnote>
  <w:footnote w:type="continuationNotice" w:id="1">
    <w:p w14:paraId="31F53698" w14:textId="77777777" w:rsidR="008F3F90" w:rsidRDefault="008F3F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68ADD" w14:textId="6023CE64" w:rsidR="00176257" w:rsidRPr="00176257" w:rsidRDefault="00176257" w:rsidP="00176257">
    <w:pPr>
      <w:pStyle w:val="lfej"/>
      <w:jc w:val="center"/>
      <w:rPr>
        <w:i/>
        <w:lang w:val="hu-H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72FA8" w14:textId="7B6D6D2C" w:rsidR="008E3FC6" w:rsidRPr="008D0ABD" w:rsidRDefault="008E3FC6" w:rsidP="008D0ABD">
    <w:pPr>
      <w:pStyle w:val="lfej"/>
      <w:tabs>
        <w:tab w:val="clear" w:pos="9072"/>
        <w:tab w:val="right" w:pos="9769"/>
      </w:tabs>
      <w:spacing w:after="120"/>
      <w:jc w:val="right"/>
      <w:rPr>
        <w:i/>
        <w:u w:val="single"/>
      </w:rPr>
    </w:pPr>
    <w:r>
      <w:rPr>
        <w:i/>
        <w:u w:val="single"/>
        <w:lang w:val="hu-HU"/>
      </w:rPr>
      <w:t xml:space="preserve">KfB </w:t>
    </w:r>
    <w:r w:rsidRPr="00B17796">
      <w:rPr>
        <w:i/>
        <w:u w:val="single"/>
      </w:rPr>
      <w:t>Előterjesztés 1. melléklete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66093" w14:textId="77777777" w:rsidR="008E3FC6" w:rsidRPr="00B17796" w:rsidRDefault="008E3FC6" w:rsidP="00BE6DDD">
    <w:pPr>
      <w:pStyle w:val="lfej"/>
      <w:tabs>
        <w:tab w:val="clear" w:pos="9072"/>
        <w:tab w:val="right" w:pos="9769"/>
      </w:tabs>
      <w:spacing w:after="120"/>
      <w:jc w:val="left"/>
      <w:rPr>
        <w:i/>
        <w:u w:val="single"/>
      </w:rPr>
    </w:pPr>
    <w:r>
      <w:rPr>
        <w:u w:val="single"/>
      </w:rPr>
      <w:tab/>
    </w:r>
    <w:r>
      <w:rPr>
        <w:u w:val="single"/>
      </w:rPr>
      <w:tab/>
    </w:r>
    <w:r w:rsidRPr="00B17796">
      <w:rPr>
        <w:i/>
        <w:u w:val="single"/>
      </w:rPr>
      <w:t>Előterjesztés 1. melléklete</w:t>
    </w:r>
  </w:p>
  <w:p w14:paraId="0093E044" w14:textId="77777777" w:rsidR="008E3FC6" w:rsidRPr="003A0FDA" w:rsidRDefault="008E3FC6" w:rsidP="003A0FDA">
    <w:pPr>
      <w:pStyle w:val="lfej"/>
      <w:spacing w:after="120"/>
      <w:jc w:val="left"/>
      <w:rPr>
        <w:u w:val="singl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7A1C8" w14:textId="77777777" w:rsidR="008E3FC6" w:rsidRPr="0024437A" w:rsidRDefault="008E3FC6" w:rsidP="008E3FC6">
    <w:pPr>
      <w:pStyle w:val="trobekezdes"/>
      <w:pBdr>
        <w:bottom w:val="single" w:sz="4" w:space="1" w:color="auto"/>
      </w:pBdr>
      <w:tabs>
        <w:tab w:val="left" w:pos="6128"/>
      </w:tabs>
      <w:jc w:val="right"/>
      <w:rPr>
        <w:i/>
        <w:szCs w:val="24"/>
        <w:lang w:eastAsia="hu-HU"/>
      </w:rPr>
    </w:pPr>
    <w:r w:rsidRPr="0024437A">
      <w:rPr>
        <w:i/>
        <w:szCs w:val="24"/>
        <w:lang w:eastAsia="hu-HU"/>
      </w:rPr>
      <w:t>Előterjesztés 2. melléklete</w:t>
    </w:r>
  </w:p>
  <w:p w14:paraId="6FE657CF" w14:textId="77777777" w:rsidR="008E3FC6" w:rsidRPr="0024437A" w:rsidRDefault="008E3FC6" w:rsidP="008E3FC6">
    <w:pPr>
      <w:pStyle w:val="trobekezdes"/>
      <w:pBdr>
        <w:bottom w:val="single" w:sz="4" w:space="1" w:color="auto"/>
      </w:pBdr>
      <w:tabs>
        <w:tab w:val="left" w:pos="6128"/>
      </w:tabs>
      <w:jc w:val="right"/>
      <w:rPr>
        <w:i/>
        <w:szCs w:val="24"/>
        <w:lang w:eastAsia="hu-HU"/>
      </w:rPr>
    </w:pPr>
    <w:r w:rsidRPr="0024437A">
      <w:rPr>
        <w:i/>
        <w:szCs w:val="24"/>
        <w:lang w:eastAsia="hu-HU"/>
      </w:rPr>
      <w:t>Az államigazgatási szervek beérkezett véleménye – külön dokumentumban</w:t>
    </w:r>
  </w:p>
  <w:p w14:paraId="29FCD8EB" w14:textId="194922B5" w:rsidR="00BD63F4" w:rsidRPr="00BD63F4" w:rsidRDefault="00BD63F4" w:rsidP="00BD63F4">
    <w:pPr>
      <w:pStyle w:val="lfej"/>
      <w:tabs>
        <w:tab w:val="clear" w:pos="9072"/>
        <w:tab w:val="right" w:pos="9769"/>
      </w:tabs>
      <w:spacing w:after="120"/>
      <w:jc w:val="right"/>
      <w:rPr>
        <w:i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2" w15:restartNumberingAfterBreak="0">
    <w:nsid w:val="03D078E0"/>
    <w:multiLevelType w:val="hybridMultilevel"/>
    <w:tmpl w:val="FC4A3C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AB6"/>
    <w:multiLevelType w:val="multilevel"/>
    <w:tmpl w:val="CA2EC62A"/>
    <w:lvl w:ilvl="0">
      <w:start w:val="1"/>
      <w:numFmt w:val="decimal"/>
      <w:pStyle w:val="R1para1"/>
      <w:lvlText w:val="%1. §"/>
      <w:lvlJc w:val="left"/>
      <w:pPr>
        <w:ind w:left="425" w:hanging="425"/>
      </w:pPr>
      <w:rPr>
        <w:rFonts w:ascii="Calibri" w:hAnsi="Calibri" w:hint="default"/>
        <w:b/>
        <w:i w:val="0"/>
        <w:sz w:val="16"/>
      </w:rPr>
    </w:lvl>
    <w:lvl w:ilvl="1">
      <w:start w:val="2"/>
      <w:numFmt w:val="decimal"/>
      <w:pStyle w:val="R2bekezdes"/>
      <w:lvlText w:val="(%2)"/>
      <w:lvlJc w:val="left"/>
      <w:pPr>
        <w:ind w:left="851" w:hanging="426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lowerLetter"/>
      <w:pStyle w:val="R3pont"/>
      <w:lvlText w:val="%3)"/>
      <w:lvlJc w:val="left"/>
      <w:pPr>
        <w:ind w:left="1276" w:hanging="425"/>
      </w:pPr>
      <w:rPr>
        <w:rFonts w:hint="default"/>
      </w:rPr>
    </w:lvl>
    <w:lvl w:ilvl="3">
      <w:start w:val="1"/>
      <w:numFmt w:val="lowerLetter"/>
      <w:pStyle w:val="R4alpont"/>
      <w:lvlText w:val="%3%4)"/>
      <w:lvlJc w:val="left"/>
      <w:pPr>
        <w:ind w:left="1701" w:hanging="425"/>
      </w:pPr>
      <w:rPr>
        <w:rFonts w:hint="default"/>
      </w:rPr>
    </w:lvl>
    <w:lvl w:ilvl="4">
      <w:start w:val="1"/>
      <w:numFmt w:val="lowerLetter"/>
      <w:lvlText w:val="%3%4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3%4%5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4C23D7"/>
    <w:multiLevelType w:val="multilevel"/>
    <w:tmpl w:val="25AEF3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9890C54"/>
    <w:multiLevelType w:val="hybridMultilevel"/>
    <w:tmpl w:val="560A2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21042"/>
    <w:multiLevelType w:val="multilevel"/>
    <w:tmpl w:val="936630F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DA53355"/>
    <w:multiLevelType w:val="hybridMultilevel"/>
    <w:tmpl w:val="E92AA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0327D"/>
    <w:multiLevelType w:val="hybridMultilevel"/>
    <w:tmpl w:val="2DCEC736"/>
    <w:lvl w:ilvl="0" w:tplc="EEA49E26">
      <w:start w:val="1"/>
      <w:numFmt w:val="decimal"/>
      <w:lvlText w:val="%1)"/>
      <w:lvlJc w:val="left"/>
      <w:pPr>
        <w:ind w:left="69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9" w15:restartNumberingAfterBreak="0">
    <w:nsid w:val="135B2F9E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10BBE"/>
    <w:multiLevelType w:val="hybridMultilevel"/>
    <w:tmpl w:val="710C3546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E705F32"/>
    <w:multiLevelType w:val="hybridMultilevel"/>
    <w:tmpl w:val="A9B284F2"/>
    <w:lvl w:ilvl="0" w:tplc="D716106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743FC"/>
    <w:multiLevelType w:val="hybridMultilevel"/>
    <w:tmpl w:val="91B4082A"/>
    <w:lvl w:ilvl="0" w:tplc="245A02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A32042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57CC8"/>
    <w:multiLevelType w:val="hybridMultilevel"/>
    <w:tmpl w:val="CE563076"/>
    <w:lvl w:ilvl="0" w:tplc="FFECC6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60E25"/>
    <w:multiLevelType w:val="hybridMultilevel"/>
    <w:tmpl w:val="1E5894C6"/>
    <w:lvl w:ilvl="0" w:tplc="30A82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17772"/>
    <w:multiLevelType w:val="hybridMultilevel"/>
    <w:tmpl w:val="6D360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44270"/>
    <w:multiLevelType w:val="hybridMultilevel"/>
    <w:tmpl w:val="2F0AF908"/>
    <w:lvl w:ilvl="0" w:tplc="4DFAFB86">
      <w:start w:val="1"/>
      <w:numFmt w:val="decimal"/>
      <w:lvlText w:val="%1)"/>
      <w:lvlJc w:val="left"/>
      <w:pPr>
        <w:ind w:left="1412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32" w:hanging="360"/>
      </w:pPr>
    </w:lvl>
    <w:lvl w:ilvl="2" w:tplc="040E001B" w:tentative="1">
      <w:start w:val="1"/>
      <w:numFmt w:val="lowerRoman"/>
      <w:lvlText w:val="%3."/>
      <w:lvlJc w:val="right"/>
      <w:pPr>
        <w:ind w:left="2852" w:hanging="180"/>
      </w:pPr>
    </w:lvl>
    <w:lvl w:ilvl="3" w:tplc="040E000F" w:tentative="1">
      <w:start w:val="1"/>
      <w:numFmt w:val="decimal"/>
      <w:lvlText w:val="%4."/>
      <w:lvlJc w:val="left"/>
      <w:pPr>
        <w:ind w:left="3572" w:hanging="360"/>
      </w:pPr>
    </w:lvl>
    <w:lvl w:ilvl="4" w:tplc="040E0019" w:tentative="1">
      <w:start w:val="1"/>
      <w:numFmt w:val="lowerLetter"/>
      <w:lvlText w:val="%5."/>
      <w:lvlJc w:val="left"/>
      <w:pPr>
        <w:ind w:left="4292" w:hanging="360"/>
      </w:pPr>
    </w:lvl>
    <w:lvl w:ilvl="5" w:tplc="040E001B" w:tentative="1">
      <w:start w:val="1"/>
      <w:numFmt w:val="lowerRoman"/>
      <w:lvlText w:val="%6."/>
      <w:lvlJc w:val="right"/>
      <w:pPr>
        <w:ind w:left="5012" w:hanging="180"/>
      </w:pPr>
    </w:lvl>
    <w:lvl w:ilvl="6" w:tplc="040E000F" w:tentative="1">
      <w:start w:val="1"/>
      <w:numFmt w:val="decimal"/>
      <w:lvlText w:val="%7."/>
      <w:lvlJc w:val="left"/>
      <w:pPr>
        <w:ind w:left="5732" w:hanging="360"/>
      </w:pPr>
    </w:lvl>
    <w:lvl w:ilvl="7" w:tplc="040E0019" w:tentative="1">
      <w:start w:val="1"/>
      <w:numFmt w:val="lowerLetter"/>
      <w:lvlText w:val="%8."/>
      <w:lvlJc w:val="left"/>
      <w:pPr>
        <w:ind w:left="6452" w:hanging="360"/>
      </w:pPr>
    </w:lvl>
    <w:lvl w:ilvl="8" w:tplc="040E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40970F69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A25158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677D6"/>
    <w:multiLevelType w:val="hybridMultilevel"/>
    <w:tmpl w:val="D0D4E43C"/>
    <w:lvl w:ilvl="0" w:tplc="245A0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328E2"/>
    <w:multiLevelType w:val="hybridMultilevel"/>
    <w:tmpl w:val="243C5CDE"/>
    <w:lvl w:ilvl="0" w:tplc="25C20EC0">
      <w:start w:val="1"/>
      <w:numFmt w:val="decimal"/>
      <w:pStyle w:val="paragrafus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337A6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105E7"/>
    <w:multiLevelType w:val="hybridMultilevel"/>
    <w:tmpl w:val="3BE04948"/>
    <w:lvl w:ilvl="0" w:tplc="74D6B61A">
      <w:start w:val="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55151"/>
    <w:multiLevelType w:val="hybridMultilevel"/>
    <w:tmpl w:val="133054EA"/>
    <w:lvl w:ilvl="0" w:tplc="E8D60A28">
      <w:start w:val="1"/>
      <w:numFmt w:val="decimal"/>
      <w:lvlText w:val="(%1)"/>
      <w:lvlJc w:val="left"/>
      <w:pPr>
        <w:ind w:left="795" w:hanging="43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97379"/>
    <w:multiLevelType w:val="hybridMultilevel"/>
    <w:tmpl w:val="67EC26B4"/>
    <w:lvl w:ilvl="0" w:tplc="6D48BB6A">
      <w:start w:val="2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251E1"/>
    <w:multiLevelType w:val="multilevel"/>
    <w:tmpl w:val="E1BEC06A"/>
    <w:name w:val="Paragrafus22"/>
    <w:numStyleLink w:val="Jogszabaly"/>
  </w:abstractNum>
  <w:abstractNum w:abstractNumId="27" w15:restartNumberingAfterBreak="0">
    <w:nsid w:val="61886FBC"/>
    <w:multiLevelType w:val="hybridMultilevel"/>
    <w:tmpl w:val="38404314"/>
    <w:lvl w:ilvl="0" w:tplc="60DEB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A1B34"/>
    <w:multiLevelType w:val="hybridMultilevel"/>
    <w:tmpl w:val="B2D4E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A736D"/>
    <w:multiLevelType w:val="hybridMultilevel"/>
    <w:tmpl w:val="2368DA30"/>
    <w:lvl w:ilvl="0" w:tplc="1B26FFBE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2689B"/>
    <w:multiLevelType w:val="hybridMultilevel"/>
    <w:tmpl w:val="CC8EFF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586A084">
      <w:start w:val="1"/>
      <w:numFmt w:val="ordinal"/>
      <w:pStyle w:val="TKR"/>
      <w:suff w:val="space"/>
      <w:lvlText w:val="%2 §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843B5"/>
    <w:multiLevelType w:val="hybridMultilevel"/>
    <w:tmpl w:val="BBB48E08"/>
    <w:lvl w:ilvl="0" w:tplc="8A4883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682840F4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38F09DE2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D3394"/>
    <w:multiLevelType w:val="hybridMultilevel"/>
    <w:tmpl w:val="C16E4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80CEE"/>
    <w:multiLevelType w:val="multilevel"/>
    <w:tmpl w:val="A07675DE"/>
    <w:lvl w:ilvl="0">
      <w:start w:val="1"/>
      <w:numFmt w:val="decimal"/>
      <w:pStyle w:val="bekTK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69511A07"/>
    <w:multiLevelType w:val="hybridMultilevel"/>
    <w:tmpl w:val="7EB0A2BA"/>
    <w:lvl w:ilvl="0" w:tplc="F9F4C530">
      <w:start w:val="1"/>
      <w:numFmt w:val="decimal"/>
      <w:pStyle w:val="IIKVSZbek1normalszurke"/>
      <w:lvlText w:val="(%1)"/>
      <w:lvlJc w:val="left"/>
      <w:pPr>
        <w:ind w:left="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B542F"/>
    <w:multiLevelType w:val="hybridMultilevel"/>
    <w:tmpl w:val="12EEB0E2"/>
    <w:lvl w:ilvl="0" w:tplc="48AA1A54">
      <w:start w:val="1"/>
      <w:numFmt w:val="decimal"/>
      <w:lvlText w:val="%1)"/>
      <w:lvlJc w:val="left"/>
      <w:pPr>
        <w:ind w:left="705" w:hanging="7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50" w:hanging="360"/>
      </w:pPr>
    </w:lvl>
    <w:lvl w:ilvl="2" w:tplc="040E001B" w:tentative="1">
      <w:start w:val="1"/>
      <w:numFmt w:val="lowerRoman"/>
      <w:lvlText w:val="%3."/>
      <w:lvlJc w:val="right"/>
      <w:pPr>
        <w:ind w:left="1770" w:hanging="180"/>
      </w:pPr>
    </w:lvl>
    <w:lvl w:ilvl="3" w:tplc="040E000F" w:tentative="1">
      <w:start w:val="1"/>
      <w:numFmt w:val="decimal"/>
      <w:lvlText w:val="%4."/>
      <w:lvlJc w:val="left"/>
      <w:pPr>
        <w:ind w:left="2490" w:hanging="360"/>
      </w:pPr>
    </w:lvl>
    <w:lvl w:ilvl="4" w:tplc="040E0019" w:tentative="1">
      <w:start w:val="1"/>
      <w:numFmt w:val="lowerLetter"/>
      <w:lvlText w:val="%5."/>
      <w:lvlJc w:val="left"/>
      <w:pPr>
        <w:ind w:left="3210" w:hanging="360"/>
      </w:pPr>
    </w:lvl>
    <w:lvl w:ilvl="5" w:tplc="040E001B" w:tentative="1">
      <w:start w:val="1"/>
      <w:numFmt w:val="lowerRoman"/>
      <w:lvlText w:val="%6."/>
      <w:lvlJc w:val="right"/>
      <w:pPr>
        <w:ind w:left="3930" w:hanging="180"/>
      </w:pPr>
    </w:lvl>
    <w:lvl w:ilvl="6" w:tplc="040E000F" w:tentative="1">
      <w:start w:val="1"/>
      <w:numFmt w:val="decimal"/>
      <w:lvlText w:val="%7."/>
      <w:lvlJc w:val="left"/>
      <w:pPr>
        <w:ind w:left="4650" w:hanging="360"/>
      </w:pPr>
    </w:lvl>
    <w:lvl w:ilvl="7" w:tplc="040E0019" w:tentative="1">
      <w:start w:val="1"/>
      <w:numFmt w:val="lowerLetter"/>
      <w:lvlText w:val="%8."/>
      <w:lvlJc w:val="left"/>
      <w:pPr>
        <w:ind w:left="5370" w:hanging="360"/>
      </w:pPr>
    </w:lvl>
    <w:lvl w:ilvl="8" w:tplc="040E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36" w15:restartNumberingAfterBreak="0">
    <w:nsid w:val="6F072342"/>
    <w:multiLevelType w:val="hybridMultilevel"/>
    <w:tmpl w:val="BB3223B4"/>
    <w:lvl w:ilvl="0" w:tplc="EF44B1D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C343E"/>
    <w:multiLevelType w:val="hybridMultilevel"/>
    <w:tmpl w:val="F102659C"/>
    <w:lvl w:ilvl="0" w:tplc="682840F4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F4E52"/>
    <w:multiLevelType w:val="hybridMultilevel"/>
    <w:tmpl w:val="E772B5CE"/>
    <w:lvl w:ilvl="0" w:tplc="040E000F">
      <w:start w:val="1"/>
      <w:numFmt w:val="decimal"/>
      <w:lvlText w:val="%1."/>
      <w:lvlJc w:val="left"/>
      <w:pPr>
        <w:ind w:left="692" w:hanging="360"/>
      </w:p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9" w15:restartNumberingAfterBreak="0">
    <w:nsid w:val="79E34987"/>
    <w:multiLevelType w:val="hybridMultilevel"/>
    <w:tmpl w:val="EBE6936A"/>
    <w:lvl w:ilvl="0" w:tplc="A510D8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216FD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31"/>
  </w:num>
  <w:num w:numId="3">
    <w:abstractNumId w:val="23"/>
  </w:num>
  <w:num w:numId="4">
    <w:abstractNumId w:val="19"/>
  </w:num>
  <w:num w:numId="5">
    <w:abstractNumId w:val="34"/>
  </w:num>
  <w:num w:numId="6">
    <w:abstractNumId w:val="21"/>
  </w:num>
  <w:num w:numId="7">
    <w:abstractNumId w:val="5"/>
  </w:num>
  <w:num w:numId="8">
    <w:abstractNumId w:val="27"/>
  </w:num>
  <w:num w:numId="9">
    <w:abstractNumId w:val="14"/>
  </w:num>
  <w:num w:numId="10">
    <w:abstractNumId w:val="24"/>
  </w:num>
  <w:num w:numId="11">
    <w:abstractNumId w:val="37"/>
  </w:num>
  <w:num w:numId="12">
    <w:abstractNumId w:val="25"/>
  </w:num>
  <w:num w:numId="13">
    <w:abstractNumId w:val="13"/>
  </w:num>
  <w:num w:numId="14">
    <w:abstractNumId w:val="21"/>
    <w:lvlOverride w:ilvl="0">
      <w:startOverride w:val="3"/>
    </w:lvlOverride>
  </w:num>
  <w:num w:numId="15">
    <w:abstractNumId w:val="9"/>
  </w:num>
  <w:num w:numId="16">
    <w:abstractNumId w:val="0"/>
  </w:num>
  <w:num w:numId="17">
    <w:abstractNumId w:val="32"/>
  </w:num>
  <w:num w:numId="18">
    <w:abstractNumId w:val="28"/>
  </w:num>
  <w:num w:numId="19">
    <w:abstractNumId w:val="22"/>
  </w:num>
  <w:num w:numId="20">
    <w:abstractNumId w:val="10"/>
  </w:num>
  <w:num w:numId="21">
    <w:abstractNumId w:val="2"/>
  </w:num>
  <w:num w:numId="22">
    <w:abstractNumId w:val="8"/>
  </w:num>
  <w:num w:numId="23">
    <w:abstractNumId w:val="38"/>
  </w:num>
  <w:num w:numId="24">
    <w:abstractNumId w:val="7"/>
  </w:num>
  <w:num w:numId="25">
    <w:abstractNumId w:val="17"/>
  </w:num>
  <w:num w:numId="26">
    <w:abstractNumId w:val="39"/>
  </w:num>
  <w:num w:numId="27">
    <w:abstractNumId w:val="3"/>
    <w:lvlOverride w:ilvl="0">
      <w:lvl w:ilvl="0">
        <w:start w:val="30"/>
        <w:numFmt w:val="decimal"/>
        <w:pStyle w:val="R1para1"/>
        <w:lvlText w:val="%1. §"/>
        <w:lvlJc w:val="left"/>
        <w:pPr>
          <w:ind w:left="425" w:hanging="425"/>
        </w:pPr>
        <w:rPr>
          <w:rFonts w:hint="default"/>
          <w:b/>
          <w:i w:val="0"/>
        </w:rPr>
      </w:lvl>
    </w:lvlOverride>
    <w:lvlOverride w:ilvl="1">
      <w:lvl w:ilvl="1">
        <w:start w:val="2"/>
        <w:numFmt w:val="decimal"/>
        <w:pStyle w:val="R2bekezdes"/>
        <w:lvlText w:val="(%2)"/>
        <w:lvlJc w:val="left"/>
        <w:pPr>
          <w:ind w:left="851" w:hanging="426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R3pont"/>
        <w:lvlText w:val="%3)"/>
        <w:lvlJc w:val="left"/>
        <w:pPr>
          <w:ind w:left="1276" w:hanging="425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R4alpont"/>
        <w:lvlText w:val="%3%4)"/>
        <w:lvlJc w:val="left"/>
        <w:pPr>
          <w:ind w:left="1701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3%4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3%4%5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11"/>
  </w:num>
  <w:num w:numId="29">
    <w:abstractNumId w:val="29"/>
  </w:num>
  <w:num w:numId="30">
    <w:abstractNumId w:val="30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5"/>
  </w:num>
  <w:num w:numId="34">
    <w:abstractNumId w:val="4"/>
  </w:num>
  <w:num w:numId="35">
    <w:abstractNumId w:val="16"/>
  </w:num>
  <w:num w:numId="36">
    <w:abstractNumId w:val="20"/>
  </w:num>
  <w:num w:numId="37">
    <w:abstractNumId w:val="12"/>
  </w:num>
  <w:num w:numId="38">
    <w:abstractNumId w:val="1"/>
  </w:num>
  <w:num w:numId="39">
    <w:abstractNumId w:val="26"/>
    <w:lvlOverride w:ilvl="0">
      <w:lvl w:ilvl="0">
        <w:start w:val="1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40">
    <w:abstractNumId w:val="40"/>
  </w:num>
  <w:num w:numId="41">
    <w:abstractNumId w:val="18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3"/>
    <w:rsid w:val="000033FF"/>
    <w:rsid w:val="000113F9"/>
    <w:rsid w:val="00013624"/>
    <w:rsid w:val="00015969"/>
    <w:rsid w:val="000435A9"/>
    <w:rsid w:val="00044284"/>
    <w:rsid w:val="0004770F"/>
    <w:rsid w:val="00052F88"/>
    <w:rsid w:val="000622D5"/>
    <w:rsid w:val="0006765A"/>
    <w:rsid w:val="00067F29"/>
    <w:rsid w:val="00085E33"/>
    <w:rsid w:val="00090363"/>
    <w:rsid w:val="000B4EFE"/>
    <w:rsid w:val="000C5E43"/>
    <w:rsid w:val="000D7B51"/>
    <w:rsid w:val="00102458"/>
    <w:rsid w:val="00114969"/>
    <w:rsid w:val="00127B33"/>
    <w:rsid w:val="00130D3B"/>
    <w:rsid w:val="00135276"/>
    <w:rsid w:val="00144D34"/>
    <w:rsid w:val="00151F30"/>
    <w:rsid w:val="00162CAC"/>
    <w:rsid w:val="0016552E"/>
    <w:rsid w:val="001728CB"/>
    <w:rsid w:val="00176257"/>
    <w:rsid w:val="00182452"/>
    <w:rsid w:val="0019529F"/>
    <w:rsid w:val="0019566A"/>
    <w:rsid w:val="00197ACA"/>
    <w:rsid w:val="001A59A3"/>
    <w:rsid w:val="001B2B56"/>
    <w:rsid w:val="001D536E"/>
    <w:rsid w:val="001E0BFC"/>
    <w:rsid w:val="00204E28"/>
    <w:rsid w:val="002101D7"/>
    <w:rsid w:val="00211440"/>
    <w:rsid w:val="0023128C"/>
    <w:rsid w:val="0023494E"/>
    <w:rsid w:val="00236BBB"/>
    <w:rsid w:val="0024437A"/>
    <w:rsid w:val="0026417D"/>
    <w:rsid w:val="00274E7F"/>
    <w:rsid w:val="0029222D"/>
    <w:rsid w:val="002A2723"/>
    <w:rsid w:val="002C7C68"/>
    <w:rsid w:val="002D2533"/>
    <w:rsid w:val="002F79E5"/>
    <w:rsid w:val="00302B80"/>
    <w:rsid w:val="00315BFE"/>
    <w:rsid w:val="003161CB"/>
    <w:rsid w:val="00316445"/>
    <w:rsid w:val="00323048"/>
    <w:rsid w:val="00325912"/>
    <w:rsid w:val="00356475"/>
    <w:rsid w:val="00362DB1"/>
    <w:rsid w:val="00365463"/>
    <w:rsid w:val="00366416"/>
    <w:rsid w:val="00372DAB"/>
    <w:rsid w:val="00380CA4"/>
    <w:rsid w:val="00382EEC"/>
    <w:rsid w:val="00390FBC"/>
    <w:rsid w:val="00393498"/>
    <w:rsid w:val="00393891"/>
    <w:rsid w:val="003B1EF1"/>
    <w:rsid w:val="003B2F86"/>
    <w:rsid w:val="003C46EF"/>
    <w:rsid w:val="003D1035"/>
    <w:rsid w:val="003D254A"/>
    <w:rsid w:val="003F11F5"/>
    <w:rsid w:val="00412497"/>
    <w:rsid w:val="004137DB"/>
    <w:rsid w:val="00415A54"/>
    <w:rsid w:val="004477FF"/>
    <w:rsid w:val="0046154C"/>
    <w:rsid w:val="00471790"/>
    <w:rsid w:val="004747C3"/>
    <w:rsid w:val="0048209D"/>
    <w:rsid w:val="004B2F36"/>
    <w:rsid w:val="004C38E9"/>
    <w:rsid w:val="004D03B1"/>
    <w:rsid w:val="004F21B7"/>
    <w:rsid w:val="004F2B0C"/>
    <w:rsid w:val="004F53BC"/>
    <w:rsid w:val="0053456F"/>
    <w:rsid w:val="0053799E"/>
    <w:rsid w:val="005458E6"/>
    <w:rsid w:val="005938A0"/>
    <w:rsid w:val="00596B85"/>
    <w:rsid w:val="005974C6"/>
    <w:rsid w:val="005A302C"/>
    <w:rsid w:val="005E0F85"/>
    <w:rsid w:val="005E7215"/>
    <w:rsid w:val="006034D6"/>
    <w:rsid w:val="00605A49"/>
    <w:rsid w:val="00634DF1"/>
    <w:rsid w:val="006406CE"/>
    <w:rsid w:val="006518AE"/>
    <w:rsid w:val="00667496"/>
    <w:rsid w:val="00676C34"/>
    <w:rsid w:val="006B5609"/>
    <w:rsid w:val="006B7536"/>
    <w:rsid w:val="006D03E6"/>
    <w:rsid w:val="006D14A3"/>
    <w:rsid w:val="006D4183"/>
    <w:rsid w:val="006E0564"/>
    <w:rsid w:val="006E237C"/>
    <w:rsid w:val="006E34DD"/>
    <w:rsid w:val="00701AAD"/>
    <w:rsid w:val="00725E25"/>
    <w:rsid w:val="00726BDA"/>
    <w:rsid w:val="00727351"/>
    <w:rsid w:val="0075096D"/>
    <w:rsid w:val="00760513"/>
    <w:rsid w:val="007732B1"/>
    <w:rsid w:val="00777F26"/>
    <w:rsid w:val="00784379"/>
    <w:rsid w:val="007903A1"/>
    <w:rsid w:val="00795CFB"/>
    <w:rsid w:val="00797921"/>
    <w:rsid w:val="007A2F9F"/>
    <w:rsid w:val="007A6E07"/>
    <w:rsid w:val="007A7262"/>
    <w:rsid w:val="007B1EB3"/>
    <w:rsid w:val="007B72DD"/>
    <w:rsid w:val="007C377A"/>
    <w:rsid w:val="007C3F6A"/>
    <w:rsid w:val="008026C1"/>
    <w:rsid w:val="0081082C"/>
    <w:rsid w:val="00826832"/>
    <w:rsid w:val="00836EF4"/>
    <w:rsid w:val="00837DA2"/>
    <w:rsid w:val="008513FA"/>
    <w:rsid w:val="008769D8"/>
    <w:rsid w:val="00877900"/>
    <w:rsid w:val="00881A43"/>
    <w:rsid w:val="0088551D"/>
    <w:rsid w:val="008A2D98"/>
    <w:rsid w:val="008A3760"/>
    <w:rsid w:val="008A453C"/>
    <w:rsid w:val="008D0ABD"/>
    <w:rsid w:val="008E3216"/>
    <w:rsid w:val="008E3FC6"/>
    <w:rsid w:val="008E77DF"/>
    <w:rsid w:val="008F3F90"/>
    <w:rsid w:val="00903745"/>
    <w:rsid w:val="00931DF4"/>
    <w:rsid w:val="009326B0"/>
    <w:rsid w:val="00941F45"/>
    <w:rsid w:val="00953765"/>
    <w:rsid w:val="009A2EEE"/>
    <w:rsid w:val="009C2716"/>
    <w:rsid w:val="009E1D2D"/>
    <w:rsid w:val="00A030A6"/>
    <w:rsid w:val="00A15648"/>
    <w:rsid w:val="00A2254A"/>
    <w:rsid w:val="00A31653"/>
    <w:rsid w:val="00A37939"/>
    <w:rsid w:val="00A71BF9"/>
    <w:rsid w:val="00A80CE5"/>
    <w:rsid w:val="00A82C8C"/>
    <w:rsid w:val="00AA6AC3"/>
    <w:rsid w:val="00AB534C"/>
    <w:rsid w:val="00AD7A76"/>
    <w:rsid w:val="00AF7358"/>
    <w:rsid w:val="00B01688"/>
    <w:rsid w:val="00B07CC3"/>
    <w:rsid w:val="00B10612"/>
    <w:rsid w:val="00B2654B"/>
    <w:rsid w:val="00B3340B"/>
    <w:rsid w:val="00B334FE"/>
    <w:rsid w:val="00B672BC"/>
    <w:rsid w:val="00B83041"/>
    <w:rsid w:val="00B85361"/>
    <w:rsid w:val="00B94D86"/>
    <w:rsid w:val="00BA08A6"/>
    <w:rsid w:val="00BC5636"/>
    <w:rsid w:val="00BD63F4"/>
    <w:rsid w:val="00BE2C53"/>
    <w:rsid w:val="00BE3E44"/>
    <w:rsid w:val="00BE7F7D"/>
    <w:rsid w:val="00C46305"/>
    <w:rsid w:val="00C70CF3"/>
    <w:rsid w:val="00C845E6"/>
    <w:rsid w:val="00C904A5"/>
    <w:rsid w:val="00C95728"/>
    <w:rsid w:val="00CA3D7B"/>
    <w:rsid w:val="00CB242A"/>
    <w:rsid w:val="00CC5764"/>
    <w:rsid w:val="00CD784F"/>
    <w:rsid w:val="00D0276A"/>
    <w:rsid w:val="00D052F1"/>
    <w:rsid w:val="00D161E4"/>
    <w:rsid w:val="00D234BF"/>
    <w:rsid w:val="00D23C4B"/>
    <w:rsid w:val="00D42B11"/>
    <w:rsid w:val="00D556BF"/>
    <w:rsid w:val="00D715AE"/>
    <w:rsid w:val="00D72D58"/>
    <w:rsid w:val="00D7709A"/>
    <w:rsid w:val="00D80C0A"/>
    <w:rsid w:val="00D84FFD"/>
    <w:rsid w:val="00D869FB"/>
    <w:rsid w:val="00D94312"/>
    <w:rsid w:val="00D95C9C"/>
    <w:rsid w:val="00D96F04"/>
    <w:rsid w:val="00DA5D24"/>
    <w:rsid w:val="00DB27CA"/>
    <w:rsid w:val="00DB3230"/>
    <w:rsid w:val="00DC70F5"/>
    <w:rsid w:val="00DC759D"/>
    <w:rsid w:val="00DD4DA4"/>
    <w:rsid w:val="00DD6E59"/>
    <w:rsid w:val="00DF3B1B"/>
    <w:rsid w:val="00DF60EA"/>
    <w:rsid w:val="00DF797D"/>
    <w:rsid w:val="00E10981"/>
    <w:rsid w:val="00E241F6"/>
    <w:rsid w:val="00E437E3"/>
    <w:rsid w:val="00E44B5C"/>
    <w:rsid w:val="00E467CB"/>
    <w:rsid w:val="00E4792D"/>
    <w:rsid w:val="00E50762"/>
    <w:rsid w:val="00E55F80"/>
    <w:rsid w:val="00E57EE9"/>
    <w:rsid w:val="00E61EF6"/>
    <w:rsid w:val="00E66546"/>
    <w:rsid w:val="00E82B6F"/>
    <w:rsid w:val="00E84F88"/>
    <w:rsid w:val="00E8614F"/>
    <w:rsid w:val="00E93690"/>
    <w:rsid w:val="00EA6419"/>
    <w:rsid w:val="00EE3DFC"/>
    <w:rsid w:val="00EE6410"/>
    <w:rsid w:val="00EF074B"/>
    <w:rsid w:val="00EF3013"/>
    <w:rsid w:val="00F077B4"/>
    <w:rsid w:val="00F16DF0"/>
    <w:rsid w:val="00F2480A"/>
    <w:rsid w:val="00F4287E"/>
    <w:rsid w:val="00F52585"/>
    <w:rsid w:val="00F54BDB"/>
    <w:rsid w:val="00F60D23"/>
    <w:rsid w:val="00F62425"/>
    <w:rsid w:val="00FB5B8D"/>
    <w:rsid w:val="00FD1618"/>
    <w:rsid w:val="00FD457C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4CA92842-239E-41D7-9DDF-5C7EABA7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C53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881A43"/>
    <w:pPr>
      <w:keepNext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E2C53"/>
    <w:pPr>
      <w:keepNext/>
      <w:spacing w:line="264" w:lineRule="auto"/>
      <w:ind w:left="-227" w:right="227"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E2C5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rsid w:val="00BE2C5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E2C5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Cm">
    <w:name w:val="Title"/>
    <w:basedOn w:val="Norml"/>
    <w:link w:val="CmChar"/>
    <w:qFormat/>
    <w:rsid w:val="00BE2C53"/>
    <w:pPr>
      <w:keepLines w:val="0"/>
      <w:suppressAutoHyphens w:val="0"/>
      <w:jc w:val="center"/>
    </w:pPr>
    <w:rPr>
      <w:b/>
      <w:bCs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E2C5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istaszerbekezds">
    <w:name w:val="List Paragraph"/>
    <w:aliases w:val="Listaszerű bekezdés 1,Welt L,Színes lista – 1. jelölőszín1,lista_2"/>
    <w:basedOn w:val="Norml"/>
    <w:link w:val="ListaszerbekezdsChar"/>
    <w:uiPriority w:val="99"/>
    <w:qFormat/>
    <w:rsid w:val="00C845E6"/>
    <w:pPr>
      <w:keepLines w:val="0"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C845E6"/>
    <w:rPr>
      <w:color w:val="0563C1" w:themeColor="hyperlink"/>
      <w:u w:val="single"/>
    </w:rPr>
  </w:style>
  <w:style w:type="paragraph" w:customStyle="1" w:styleId="IIKVSZbek1normalszurke">
    <w:name w:val="II_KVSZ_(bek_1_normal)_szurke"/>
    <w:basedOn w:val="Norml"/>
    <w:link w:val="IIKVSZbek1normalszurkeChar"/>
    <w:qFormat/>
    <w:rsid w:val="00C845E6"/>
    <w:pPr>
      <w:keepLines w:val="0"/>
      <w:numPr>
        <w:numId w:val="5"/>
      </w:numPr>
      <w:shd w:val="clear" w:color="auto" w:fill="D9D9D9"/>
      <w:suppressAutoHyphens w:val="0"/>
      <w:spacing w:before="60"/>
    </w:pPr>
    <w:rPr>
      <w:sz w:val="20"/>
      <w:lang w:val="x-none" w:eastAsia="x-none"/>
    </w:rPr>
  </w:style>
  <w:style w:type="character" w:customStyle="1" w:styleId="IIKVSZbek1normalszurkeChar">
    <w:name w:val="II_KVSZ_(bek_1_normal)_szurke Char"/>
    <w:link w:val="IIKVSZbek1normalszurke"/>
    <w:rsid w:val="00C845E6"/>
    <w:rPr>
      <w:rFonts w:ascii="Times New Roman" w:eastAsia="Times New Roman" w:hAnsi="Times New Roman" w:cs="Times New Roman"/>
      <w:sz w:val="20"/>
      <w:szCs w:val="20"/>
      <w:shd w:val="clear" w:color="auto" w:fill="D9D9D9"/>
      <w:lang w:val="x-none" w:eastAsia="x-none"/>
    </w:rPr>
  </w:style>
  <w:style w:type="paragraph" w:customStyle="1" w:styleId="paragrafus">
    <w:name w:val="paragrafus"/>
    <w:basedOn w:val="Norml"/>
    <w:link w:val="paragrafusChar"/>
    <w:qFormat/>
    <w:rsid w:val="00C845E6"/>
    <w:pPr>
      <w:keepLines w:val="0"/>
      <w:numPr>
        <w:numId w:val="6"/>
      </w:numPr>
      <w:shd w:val="clear" w:color="auto" w:fill="FFFFFF"/>
      <w:suppressAutoHyphens w:val="0"/>
      <w:spacing w:before="60" w:line="276" w:lineRule="auto"/>
      <w:jc w:val="center"/>
    </w:pPr>
    <w:rPr>
      <w:rFonts w:ascii="TimesNewRomanPS-BoldMT" w:hAnsi="TimesNewRomanPS-BoldMT"/>
      <w:b/>
      <w:bCs/>
      <w:color w:val="FF0000"/>
      <w:szCs w:val="24"/>
      <w:lang w:val="x-none" w:eastAsia="x-none"/>
    </w:rPr>
  </w:style>
  <w:style w:type="character" w:customStyle="1" w:styleId="paragrafusChar">
    <w:name w:val="paragrafus Char"/>
    <w:link w:val="paragrafus"/>
    <w:rsid w:val="00C845E6"/>
    <w:rPr>
      <w:rFonts w:ascii="TimesNewRomanPS-BoldMT" w:eastAsia="Times New Roman" w:hAnsi="TimesNewRomanPS-BoldMT" w:cs="Times New Roman"/>
      <w:b/>
      <w:bCs/>
      <w:color w:val="FF0000"/>
      <w:sz w:val="24"/>
      <w:szCs w:val="24"/>
      <w:shd w:val="clear" w:color="auto" w:fill="FFFFFF"/>
      <w:lang w:val="x-none" w:eastAsia="x-none"/>
    </w:rPr>
  </w:style>
  <w:style w:type="table" w:styleId="Rcsostblzat">
    <w:name w:val="Table Grid"/>
    <w:basedOn w:val="Normltblzat"/>
    <w:uiPriority w:val="39"/>
    <w:rsid w:val="00C8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37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77A"/>
    <w:rPr>
      <w:rFonts w:ascii="Segoe UI" w:eastAsia="Times New Roman" w:hAnsi="Segoe UI" w:cs="Segoe UI"/>
      <w:sz w:val="18"/>
      <w:szCs w:val="18"/>
      <w:lang w:eastAsia="ar-SA"/>
    </w:rPr>
  </w:style>
  <w:style w:type="paragraph" w:styleId="llb">
    <w:name w:val="footer"/>
    <w:basedOn w:val="Norml"/>
    <w:link w:val="llbChar"/>
    <w:uiPriority w:val="99"/>
    <w:rsid w:val="00DC70F5"/>
    <w:pPr>
      <w:keepLines w:val="0"/>
      <w:tabs>
        <w:tab w:val="center" w:pos="4536"/>
        <w:tab w:val="right" w:pos="9072"/>
      </w:tabs>
      <w:suppressAutoHyphens w:val="0"/>
      <w:jc w:val="left"/>
    </w:pPr>
    <w:rPr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C70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881A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Szvegtrzs">
    <w:name w:val="Body Text"/>
    <w:basedOn w:val="Norml"/>
    <w:link w:val="SzvegtrzsChar"/>
    <w:rsid w:val="00881A43"/>
    <w:pPr>
      <w:keepLines w:val="0"/>
      <w:widowControl w:val="0"/>
      <w:spacing w:after="120"/>
      <w:jc w:val="left"/>
    </w:pPr>
    <w:rPr>
      <w:rFonts w:eastAsia="Arial Unicode MS"/>
      <w:szCs w:val="24"/>
    </w:rPr>
  </w:style>
  <w:style w:type="character" w:customStyle="1" w:styleId="SzvegtrzsChar">
    <w:name w:val="Szövegtörzs Char"/>
    <w:basedOn w:val="Bekezdsalapbettpusa"/>
    <w:link w:val="Szvegtrzs"/>
    <w:rsid w:val="00881A43"/>
    <w:rPr>
      <w:rFonts w:ascii="Times New Roman" w:eastAsia="Arial Unicode MS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81A43"/>
  </w:style>
  <w:style w:type="paragraph" w:styleId="NormlWeb">
    <w:name w:val="Normal (Web)"/>
    <w:basedOn w:val="Norml"/>
    <w:uiPriority w:val="99"/>
    <w:unhideWhenUsed/>
    <w:rsid w:val="00881A43"/>
    <w:pPr>
      <w:keepLines w:val="0"/>
      <w:suppressAutoHyphens w:val="0"/>
      <w:spacing w:before="100" w:beforeAutospacing="1" w:after="100" w:afterAutospacing="1"/>
      <w:jc w:val="left"/>
    </w:pPr>
    <w:rPr>
      <w:szCs w:val="24"/>
      <w:lang w:eastAsia="hu-HU"/>
    </w:rPr>
  </w:style>
  <w:style w:type="paragraph" w:styleId="Vltozat">
    <w:name w:val="Revision"/>
    <w:hidden/>
    <w:uiPriority w:val="99"/>
    <w:semiHidden/>
    <w:rsid w:val="00E1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obekezdes">
    <w:name w:val="tro_bekezdes"/>
    <w:basedOn w:val="Norml"/>
    <w:rsid w:val="00393498"/>
    <w:pPr>
      <w:keepLines w:val="0"/>
      <w:suppressAutoHyphens w:val="0"/>
      <w:spacing w:after="120"/>
    </w:pPr>
    <w:rPr>
      <w:lang w:eastAsia="en-US"/>
    </w:rPr>
  </w:style>
  <w:style w:type="paragraph" w:customStyle="1" w:styleId="trobekezdes0">
    <w:name w:val="tro_bekezdes_0"/>
    <w:basedOn w:val="trobekezdes"/>
    <w:qFormat/>
    <w:rsid w:val="00393498"/>
    <w:pPr>
      <w:spacing w:after="0"/>
    </w:pPr>
  </w:style>
  <w:style w:type="paragraph" w:customStyle="1" w:styleId="tkvkbekezdes">
    <w:name w:val="tkvk_bekezdes"/>
    <w:basedOn w:val="Norml"/>
    <w:rsid w:val="00393498"/>
    <w:pPr>
      <w:keepLines w:val="0"/>
      <w:widowControl w:val="0"/>
      <w:tabs>
        <w:tab w:val="left" w:pos="709"/>
      </w:tabs>
      <w:spacing w:after="120"/>
    </w:pPr>
    <w:rPr>
      <w:rFonts w:eastAsia="Lucida Sans Unicode" w:cs="Mangal"/>
      <w:szCs w:val="24"/>
      <w:lang w:eastAsia="zh-CN" w:bidi="hi-IN"/>
    </w:rPr>
  </w:style>
  <w:style w:type="paragraph" w:customStyle="1" w:styleId="trobekezdes0K">
    <w:name w:val="tro_bekezdes_0K"/>
    <w:basedOn w:val="trobekezdes0"/>
    <w:qFormat/>
    <w:rsid w:val="00393498"/>
    <w:pPr>
      <w:jc w:val="center"/>
    </w:pPr>
  </w:style>
  <w:style w:type="character" w:styleId="Kiemels2">
    <w:name w:val="Strong"/>
    <w:basedOn w:val="Bekezdsalapbettpusa"/>
    <w:uiPriority w:val="22"/>
    <w:qFormat/>
    <w:rsid w:val="00393498"/>
    <w:rPr>
      <w:b/>
      <w:bCs/>
    </w:rPr>
  </w:style>
  <w:style w:type="paragraph" w:customStyle="1" w:styleId="R1para1">
    <w:name w:val="R 1. para (1)"/>
    <w:basedOn w:val="Listaszerbekezds"/>
    <w:next w:val="R2bekezdes"/>
    <w:qFormat/>
    <w:rsid w:val="007B72DD"/>
    <w:pPr>
      <w:numPr>
        <w:numId w:val="27"/>
      </w:numPr>
      <w:tabs>
        <w:tab w:val="left" w:pos="567"/>
      </w:tabs>
      <w:spacing w:before="120" w:after="0" w:line="276" w:lineRule="auto"/>
      <w:ind w:left="1134" w:hanging="1134"/>
      <w:contextualSpacing w:val="0"/>
      <w:jc w:val="both"/>
      <w:outlineLvl w:val="3"/>
    </w:pPr>
    <w:rPr>
      <w:rFonts w:ascii="Calibri" w:eastAsia="Calibri" w:hAnsi="Calibri" w:cs="Times New Roman"/>
      <w:sz w:val="18"/>
      <w:lang w:eastAsia="hu-HU"/>
    </w:rPr>
  </w:style>
  <w:style w:type="paragraph" w:customStyle="1" w:styleId="R2bekezdes">
    <w:name w:val="R 2. bekezdes"/>
    <w:basedOn w:val="R1para1"/>
    <w:next w:val="R3pont"/>
    <w:link w:val="R2bekezdesChar"/>
    <w:qFormat/>
    <w:rsid w:val="007B72DD"/>
    <w:pPr>
      <w:numPr>
        <w:ilvl w:val="1"/>
      </w:numPr>
      <w:tabs>
        <w:tab w:val="clear" w:pos="567"/>
        <w:tab w:val="num" w:pos="360"/>
      </w:tabs>
      <w:spacing w:line="240" w:lineRule="auto"/>
      <w:outlineLvl w:val="9"/>
    </w:pPr>
    <w:rPr>
      <w:rFonts w:cs="Calibri"/>
    </w:rPr>
  </w:style>
  <w:style w:type="paragraph" w:customStyle="1" w:styleId="R3pont">
    <w:name w:val="R 3. pont"/>
    <w:basedOn w:val="R1para1"/>
    <w:link w:val="R3pontChar"/>
    <w:qFormat/>
    <w:rsid w:val="007B72DD"/>
    <w:pPr>
      <w:numPr>
        <w:ilvl w:val="2"/>
      </w:numPr>
      <w:tabs>
        <w:tab w:val="clear" w:pos="567"/>
      </w:tabs>
      <w:spacing w:before="60" w:line="240" w:lineRule="auto"/>
      <w:outlineLvl w:val="9"/>
    </w:pPr>
  </w:style>
  <w:style w:type="paragraph" w:customStyle="1" w:styleId="R4alpont">
    <w:name w:val="R 4. alpont"/>
    <w:basedOn w:val="R1para1"/>
    <w:link w:val="R4alpontChar"/>
    <w:qFormat/>
    <w:rsid w:val="007B72DD"/>
    <w:pPr>
      <w:numPr>
        <w:ilvl w:val="3"/>
      </w:numPr>
      <w:tabs>
        <w:tab w:val="clear" w:pos="567"/>
      </w:tabs>
      <w:spacing w:before="60" w:line="240" w:lineRule="auto"/>
      <w:ind w:left="1984" w:hanging="360"/>
      <w:contextualSpacing/>
      <w:outlineLvl w:val="9"/>
    </w:pPr>
  </w:style>
  <w:style w:type="character" w:customStyle="1" w:styleId="ListaszerbekezdsChar">
    <w:name w:val="Listaszerű bekezdés Char"/>
    <w:aliases w:val="Listaszerű bekezdés 1 Char,Welt L Char,Színes lista – 1. jelölőszín1 Char,lista_2 Char"/>
    <w:link w:val="Listaszerbekezds"/>
    <w:uiPriority w:val="99"/>
    <w:rsid w:val="007B72DD"/>
  </w:style>
  <w:style w:type="character" w:customStyle="1" w:styleId="R3pontChar">
    <w:name w:val="R 3. pont Char"/>
    <w:link w:val="R3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4alpontChar">
    <w:name w:val="R 4. alpont Char"/>
    <w:link w:val="R4al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2bekezdesChar">
    <w:name w:val="R 2. bekezdes Char"/>
    <w:link w:val="R2bekezdes"/>
    <w:rsid w:val="00BE7F7D"/>
    <w:rPr>
      <w:rFonts w:ascii="Calibri" w:eastAsia="Calibri" w:hAnsi="Calibri" w:cs="Calibri"/>
      <w:sz w:val="18"/>
      <w:lang w:eastAsia="hu-HU"/>
    </w:rPr>
  </w:style>
  <w:style w:type="paragraph" w:customStyle="1" w:styleId="TKR">
    <w:name w:val="§ TKR"/>
    <w:basedOn w:val="Norml"/>
    <w:next w:val="bekTKR"/>
    <w:link w:val="TKRChar"/>
    <w:autoRedefine/>
    <w:qFormat/>
    <w:rsid w:val="00BE7F7D"/>
    <w:pPr>
      <w:keepNext/>
      <w:keepLines w:val="0"/>
      <w:numPr>
        <w:ilvl w:val="1"/>
        <w:numId w:val="30"/>
      </w:numPr>
      <w:shd w:val="clear" w:color="auto" w:fill="E2EFD9" w:themeFill="accent6" w:themeFillTint="33"/>
      <w:suppressAutoHyphens w:val="0"/>
      <w:spacing w:before="120"/>
      <w:jc w:val="center"/>
      <w:outlineLvl w:val="3"/>
    </w:pPr>
    <w:rPr>
      <w:b/>
      <w:szCs w:val="24"/>
      <w:lang w:eastAsia="hu-HU"/>
    </w:rPr>
  </w:style>
  <w:style w:type="paragraph" w:customStyle="1" w:styleId="bekTKR">
    <w:name w:val="bek. TKR"/>
    <w:basedOn w:val="Norml"/>
    <w:link w:val="bekTKRChar"/>
    <w:qFormat/>
    <w:rsid w:val="00BE7F7D"/>
    <w:pPr>
      <w:keepLines w:val="0"/>
      <w:numPr>
        <w:numId w:val="32"/>
      </w:numPr>
      <w:suppressLineNumbers/>
      <w:spacing w:before="60"/>
      <w:outlineLvl w:val="4"/>
    </w:pPr>
    <w:rPr>
      <w:rFonts w:eastAsia="Calibri"/>
      <w:lang w:eastAsia="en-US"/>
    </w:rPr>
  </w:style>
  <w:style w:type="character" w:customStyle="1" w:styleId="TKRChar">
    <w:name w:val="§ TKR Char"/>
    <w:basedOn w:val="Bekezdsalapbettpusa"/>
    <w:link w:val="TKR"/>
    <w:rsid w:val="00BE7F7D"/>
    <w:rPr>
      <w:rFonts w:ascii="Times New Roman" w:eastAsia="Times New Roman" w:hAnsi="Times New Roman" w:cs="Times New Roman"/>
      <w:b/>
      <w:sz w:val="24"/>
      <w:szCs w:val="24"/>
      <w:shd w:val="clear" w:color="auto" w:fill="E2EFD9" w:themeFill="accent6" w:themeFillTint="33"/>
      <w:lang w:eastAsia="hu-HU"/>
    </w:rPr>
  </w:style>
  <w:style w:type="character" w:customStyle="1" w:styleId="bekTKRChar">
    <w:name w:val="bek. TKR Char"/>
    <w:basedOn w:val="Bekezdsalapbettpusa"/>
    <w:link w:val="bekTKR"/>
    <w:rsid w:val="00BE7F7D"/>
    <w:rPr>
      <w:rFonts w:ascii="Times New Roman" w:eastAsia="Calibri" w:hAnsi="Times New Roman" w:cs="Times New Roman"/>
      <w:sz w:val="24"/>
      <w:szCs w:val="20"/>
    </w:rPr>
  </w:style>
  <w:style w:type="paragraph" w:customStyle="1" w:styleId="Q2szintszamnelkul">
    <w:name w:val="Q 2. szint &gt;&gt;&gt; szamnelkul"/>
    <w:basedOn w:val="Norml"/>
    <w:link w:val="Q2szintszamnelkulChar"/>
    <w:qFormat/>
    <w:rsid w:val="00BE7F7D"/>
    <w:pPr>
      <w:keepLines w:val="0"/>
      <w:suppressAutoHyphens w:val="0"/>
      <w:spacing w:before="6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Q2szintszamnelkulChar">
    <w:name w:val="Q 2. szint &gt;&gt;&gt; szamnelkul Char"/>
    <w:link w:val="Q2szintszamnelkul"/>
    <w:rsid w:val="00BE7F7D"/>
    <w:rPr>
      <w:rFonts w:ascii="Calibri" w:eastAsia="Calibri" w:hAnsi="Calibri" w:cs="Times New Roman"/>
      <w:sz w:val="18"/>
      <w:szCs w:val="18"/>
    </w:rPr>
  </w:style>
  <w:style w:type="paragraph" w:customStyle="1" w:styleId="RKieg1szint">
    <w:name w:val="R Kieg 1. szint"/>
    <w:basedOn w:val="Listaszerbekezds"/>
    <w:qFormat/>
    <w:rsid w:val="00BE7F7D"/>
    <w:pPr>
      <w:suppressAutoHyphens/>
      <w:spacing w:before="360" w:after="120" w:line="240" w:lineRule="auto"/>
      <w:ind w:left="0"/>
      <w:contextualSpacing w:val="0"/>
      <w:jc w:val="both"/>
    </w:pPr>
    <w:rPr>
      <w:rFonts w:ascii="Calibri" w:eastAsia="Calibri" w:hAnsi="Calibri" w:cs="Times New Roman"/>
      <w:b/>
      <w:sz w:val="18"/>
      <w:lang w:eastAsia="ar-SA"/>
    </w:rPr>
  </w:style>
  <w:style w:type="numbering" w:customStyle="1" w:styleId="Jogszabaly">
    <w:name w:val="Jogszabaly"/>
    <w:rsid w:val="00325912"/>
    <w:pPr>
      <w:numPr>
        <w:numId w:val="38"/>
      </w:numPr>
    </w:pPr>
  </w:style>
  <w:style w:type="paragraph" w:customStyle="1" w:styleId="R1szint">
    <w:name w:val="R 1 szint"/>
    <w:basedOn w:val="Listaszerbekezds"/>
    <w:qFormat/>
    <w:rsid w:val="00325912"/>
    <w:pPr>
      <w:numPr>
        <w:numId w:val="39"/>
      </w:numPr>
      <w:tabs>
        <w:tab w:val="num" w:pos="850"/>
      </w:tabs>
      <w:spacing w:before="240" w:after="0" w:line="240" w:lineRule="auto"/>
      <w:ind w:left="-28" w:right="-113" w:firstLine="0"/>
      <w:contextualSpacing w:val="0"/>
      <w:jc w:val="right"/>
    </w:pPr>
    <w:rPr>
      <w:rFonts w:ascii="Calibri" w:eastAsia="Calibri" w:hAnsi="Calibri" w:cs="Calibri"/>
      <w:b/>
      <w:sz w:val="18"/>
      <w:szCs w:val="18"/>
    </w:rPr>
  </w:style>
  <w:style w:type="paragraph" w:customStyle="1" w:styleId="Rendelet2szint">
    <w:name w:val="Rendelet 2 szint"/>
    <w:basedOn w:val="Norml"/>
    <w:next w:val="Norml"/>
    <w:rsid w:val="00325912"/>
    <w:pPr>
      <w:keepLines w:val="0"/>
      <w:numPr>
        <w:ilvl w:val="1"/>
        <w:numId w:val="39"/>
      </w:numPr>
      <w:suppressAutoHyphens w:val="0"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paragraph" w:customStyle="1" w:styleId="R3szint">
    <w:name w:val="R 3. szint"/>
    <w:basedOn w:val="Rendelet2szint"/>
    <w:qFormat/>
    <w:rsid w:val="00325912"/>
    <w:pPr>
      <w:numPr>
        <w:ilvl w:val="2"/>
      </w:numPr>
      <w:tabs>
        <w:tab w:val="left" w:pos="851"/>
      </w:tabs>
      <w:spacing w:before="60"/>
      <w:ind w:left="851" w:hanging="284"/>
    </w:pPr>
  </w:style>
  <w:style w:type="paragraph" w:customStyle="1" w:styleId="R4szint">
    <w:name w:val="R 4. szint"/>
    <w:basedOn w:val="R3szint"/>
    <w:qFormat/>
    <w:rsid w:val="00325912"/>
    <w:pPr>
      <w:numPr>
        <w:ilvl w:val="3"/>
      </w:numPr>
      <w:ind w:left="1276" w:hanging="425"/>
      <w:contextualSpacing/>
    </w:pPr>
  </w:style>
  <w:style w:type="paragraph" w:customStyle="1" w:styleId="R10MAGYARAZAT">
    <w:name w:val="R_10_MAGYARAZAT"/>
    <w:basedOn w:val="Norml"/>
    <w:link w:val="R10MAGYARAZATChar"/>
    <w:qFormat/>
    <w:rsid w:val="00325912"/>
    <w:pPr>
      <w:keepLines w:val="0"/>
      <w:pBdr>
        <w:left w:val="single" w:sz="36" w:space="4" w:color="auto"/>
      </w:pBdr>
      <w:suppressAutoHyphens w:val="0"/>
      <w:ind w:left="1831"/>
      <w:jc w:val="left"/>
    </w:pPr>
    <w:rPr>
      <w:rFonts w:ascii="Calibri" w:hAnsi="Calibri"/>
      <w:sz w:val="16"/>
      <w:szCs w:val="16"/>
      <w:lang w:eastAsia="hu-HU"/>
    </w:rPr>
  </w:style>
  <w:style w:type="character" w:customStyle="1" w:styleId="R10MAGYARAZATChar">
    <w:name w:val="R_10_MAGYARAZAT Char"/>
    <w:link w:val="R10MAGYARAZAT"/>
    <w:rsid w:val="00325912"/>
    <w:rPr>
      <w:rFonts w:ascii="Calibri" w:eastAsia="Times New Roman" w:hAnsi="Calibri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B1E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1EB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1E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1E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1E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0999B-60AA-47E0-9283-DA38608B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1141</Words>
  <Characters>7878</Characters>
  <Application>Microsoft Office Word</Application>
  <DocSecurity>4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Pálffy-Károly Veronika</dc:creator>
  <cp:keywords/>
  <dc:description/>
  <cp:lastModifiedBy>Varga Ferdinád Józsefné</cp:lastModifiedBy>
  <cp:revision>2</cp:revision>
  <cp:lastPrinted>2024-02-13T14:04:00Z</cp:lastPrinted>
  <dcterms:created xsi:type="dcterms:W3CDTF">2024-02-13T14:42:00Z</dcterms:created>
  <dcterms:modified xsi:type="dcterms:W3CDTF">2024-02-13T14:42:00Z</dcterms:modified>
</cp:coreProperties>
</file>