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BE27C6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E27C6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BE27C6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E27C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5292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BE27C6" w:rsidRPr="00BE27C6" w:rsidRDefault="00BE27C6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Pr="00BE27C6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Pr="00BE27C6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E27C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Default="00A73292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BE27C6" w:rsidRPr="00BE27C6" w:rsidRDefault="00BE27C6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CC7436" w:rsidRPr="00BE27C6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E27C6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CC7436" w:rsidRPr="00BE27C6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E27C6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478/2020.(XI.3.) Korm. rendelet, a katasztrófavédelemről és a hozzá kapcsolódó egyes törvények módosításáról szóló</w:t>
      </w:r>
    </w:p>
    <w:p w:rsidR="00CC7436" w:rsidRPr="00BE27C6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E27C6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bekezdése,</w:t>
      </w:r>
      <w:r w:rsidRPr="00BE27C6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 3/2020.(XI.13.) normatív utasítása </w:t>
      </w:r>
      <w:r w:rsidRPr="00BE27C6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CC7436" w:rsidRPr="00BE27C6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E27C6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Gazdasági és Tulajdonosi Bizottságának</w:t>
      </w:r>
    </w:p>
    <w:p w:rsidR="00CC7436" w:rsidRPr="00BE27C6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E27C6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CC7436" w:rsidRPr="00BE27C6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E27C6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E27C6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BE27C6"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 w:rsidR="008F64A0">
        <w:rPr>
          <w:rFonts w:ascii="Times New Roman" w:hAnsi="Times New Roman"/>
          <w:b/>
          <w:sz w:val="24"/>
          <w:szCs w:val="24"/>
          <w:lang w:eastAsia="hu-HU"/>
        </w:rPr>
        <w:t xml:space="preserve">december </w:t>
      </w:r>
      <w:bookmarkStart w:id="0" w:name="_GoBack"/>
      <w:bookmarkEnd w:id="0"/>
      <w:r w:rsidR="00DD25E5" w:rsidRPr="00BE27C6">
        <w:rPr>
          <w:rFonts w:ascii="Times New Roman" w:hAnsi="Times New Roman"/>
          <w:b/>
          <w:sz w:val="24"/>
          <w:szCs w:val="24"/>
          <w:lang w:eastAsia="hu-HU"/>
        </w:rPr>
        <w:t>4</w:t>
      </w:r>
      <w:r w:rsidRPr="00BE27C6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BE27C6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E27C6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BE27C6">
        <w:rPr>
          <w:rFonts w:ascii="Times New Roman" w:hAnsi="Times New Roman"/>
          <w:b/>
          <w:sz w:val="24"/>
          <w:szCs w:val="24"/>
          <w:lang w:eastAsia="hu-HU"/>
        </w:rPr>
        <w:t>meghozott döntéseiről</w:t>
      </w:r>
    </w:p>
    <w:p w:rsidR="00CC7436" w:rsidRDefault="00CC7436" w:rsidP="00CC743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27C6" w:rsidRPr="00BE27C6" w:rsidRDefault="00BE27C6" w:rsidP="00CC743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C7436" w:rsidRPr="00BE27C6" w:rsidRDefault="00CC7436" w:rsidP="00CC743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7C6">
        <w:rPr>
          <w:rFonts w:ascii="Times New Roman" w:hAnsi="Times New Roman"/>
          <w:b/>
          <w:sz w:val="24"/>
          <w:szCs w:val="24"/>
          <w:u w:val="single"/>
        </w:rPr>
        <w:t>1. pont:</w:t>
      </w:r>
    </w:p>
    <w:p w:rsidR="00BE27C6" w:rsidRPr="00BE27C6" w:rsidRDefault="00BE27C6" w:rsidP="00BE27C6">
      <w:pPr>
        <w:jc w:val="both"/>
        <w:rPr>
          <w:rFonts w:ascii="Times New Roman" w:hAnsi="Times New Roman"/>
          <w:sz w:val="24"/>
          <w:szCs w:val="24"/>
        </w:rPr>
      </w:pPr>
      <w:r w:rsidRPr="00BE27C6">
        <w:rPr>
          <w:rFonts w:ascii="Times New Roman" w:hAnsi="Times New Roman"/>
          <w:sz w:val="24"/>
          <w:szCs w:val="24"/>
        </w:rPr>
        <w:t xml:space="preserve">Budapest II. Kerületi Szabó Lőrinc Kéttannyelvű Általános Iskola és Gimnázium területén lévő CLASP melléképület bontásához tulajdonosi hozzájárulás </w:t>
      </w:r>
    </w:p>
    <w:p w:rsidR="00CC7436" w:rsidRPr="00BE27C6" w:rsidRDefault="00CC7436" w:rsidP="00CC7436">
      <w:pPr>
        <w:jc w:val="both"/>
        <w:rPr>
          <w:rFonts w:ascii="Times New Roman" w:hAnsi="Times New Roman"/>
          <w:sz w:val="24"/>
          <w:szCs w:val="24"/>
        </w:rPr>
      </w:pPr>
    </w:p>
    <w:sectPr w:rsidR="00CC7436" w:rsidRPr="00BE27C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A6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777D"/>
    <w:rsid w:val="002E1D4F"/>
    <w:rsid w:val="002E5CD6"/>
    <w:rsid w:val="002F10EB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4A0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438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C0589"/>
    <w:rsid w:val="00BD0C67"/>
    <w:rsid w:val="00BD54CE"/>
    <w:rsid w:val="00BD7121"/>
    <w:rsid w:val="00BE27C6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C7436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D25E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B82D-1777-436B-82D1-A69A5EA8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4</cp:revision>
  <cp:lastPrinted>2020-03-24T10:22:00Z</cp:lastPrinted>
  <dcterms:created xsi:type="dcterms:W3CDTF">2020-12-04T08:03:00Z</dcterms:created>
  <dcterms:modified xsi:type="dcterms:W3CDTF">2020-12-04T08:12:00Z</dcterms:modified>
</cp:coreProperties>
</file>