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3" w:rsidRPr="00E66C6F" w:rsidRDefault="001737A3" w:rsidP="00B84C4A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1737A3" w:rsidRPr="00E66C6F" w:rsidRDefault="001737A3" w:rsidP="00B84C4A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1737A3" w:rsidRPr="00E66C6F" w:rsidRDefault="00983FFE" w:rsidP="00B84C4A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10</w:t>
      </w:r>
      <w:r w:rsidR="001737A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/2019.</w:t>
      </w:r>
    </w:p>
    <w:p w:rsidR="001737A3" w:rsidRPr="00E66C6F" w:rsidRDefault="001737A3" w:rsidP="00B84C4A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1737A3" w:rsidRDefault="001737A3" w:rsidP="00B84C4A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Készült: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2019. </w:t>
      </w:r>
      <w:r w:rsidR="004B6D34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november 25-i rendes ülésén 15:3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 kezdettel a Budapest II. kerületi Polgármesteri Hivatal, Budapest II. kerület Mechwart liget 1. földszinti nagytárgyaló hivatalos helyiségében.</w:t>
      </w:r>
    </w:p>
    <w:p w:rsidR="001737A3" w:rsidRPr="00E66C6F" w:rsidRDefault="001737A3" w:rsidP="00B84C4A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1737A3" w:rsidRPr="00E66C6F" w:rsidRDefault="004B6D34" w:rsidP="00B84C4A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Biró Zsolt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</w:p>
    <w:p w:rsidR="001737A3" w:rsidRPr="00E66C6F" w:rsidRDefault="004B6D34" w:rsidP="00B84C4A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1737A3" w:rsidRPr="00E66C6F" w:rsidRDefault="004B6D34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1737A3" w:rsidRPr="00E66C6F" w:rsidRDefault="004B6D34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Kiss R</w:t>
      </w:r>
      <w:r w:rsidR="00683D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oland</w:t>
      </w:r>
      <w:bookmarkStart w:id="0" w:name="_GoBack"/>
      <w:bookmarkEnd w:id="0"/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="001737A3"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:30</w:t>
      </w:r>
    </w:p>
    <w:p w:rsidR="004B6D34" w:rsidRPr="00E66C6F" w:rsidRDefault="004B6D34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15:30</w:t>
      </w:r>
    </w:p>
    <w:p w:rsidR="004B6D34" w:rsidRPr="00E66C6F" w:rsidRDefault="004B6D34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 Péter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15:30</w:t>
      </w:r>
    </w:p>
    <w:p w:rsidR="004B6D34" w:rsidRPr="00E66C6F" w:rsidRDefault="004B6D34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Sánta Zsófia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15:30</w:t>
      </w:r>
    </w:p>
    <w:p w:rsidR="00A70467" w:rsidRPr="00E66C6F" w:rsidRDefault="00A70467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B6D34" w:rsidRPr="00E66C6F" w:rsidRDefault="00A70467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meghívott</w:t>
      </w:r>
    </w:p>
    <w:p w:rsidR="00A70467" w:rsidRPr="00E66C6F" w:rsidRDefault="00A70467" w:rsidP="00B84C4A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Fermin Antonio Pined</w:t>
      </w:r>
      <w:r w:rsid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 w:rsidR="00E66C6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1737A3" w:rsidRPr="00E66C6F" w:rsidRDefault="001737A3" w:rsidP="00B84C4A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1737A3" w:rsidRPr="00E66C6F" w:rsidRDefault="004B6D34" w:rsidP="00B84C4A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dr. Varga Alexandra</w:t>
      </w:r>
      <w:r w:rsidR="001D43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43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1737A3" w:rsidRPr="00E66C6F" w:rsidRDefault="004B6D34" w:rsidP="00B84C4A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dr. Tas Krisztián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meghívott a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napirendi ponthoz</w:t>
      </w:r>
    </w:p>
    <w:p w:rsidR="004B6D34" w:rsidRPr="00E66C6F" w:rsidRDefault="004B6D34" w:rsidP="00B84C4A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dr. Sáska Vera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2. napirendi ponthoz</w:t>
      </w:r>
    </w:p>
    <w:p w:rsidR="001737A3" w:rsidRPr="00E66C6F" w:rsidRDefault="001737A3" w:rsidP="00B84C4A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1737A3" w:rsidRPr="00E66C6F" w:rsidRDefault="001737A3" w:rsidP="00B84C4A">
      <w:pPr>
        <w:tabs>
          <w:tab w:val="left" w:pos="3600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3600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4B6D34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Dr. Biró Zsolt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, a Gaz</w:t>
      </w:r>
      <w:r w:rsidR="00D11DD2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dasági és Tulajdonosi Bizottság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elnöke (a továbbiakban: Elnök) megállapítja, hogy a Bizottság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tagja közül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a Bizottság határozatképes, </w:t>
      </w:r>
      <w:r w:rsidR="001D43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majd 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ülést </w:t>
      </w:r>
      <w:r w:rsid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15.30 órai kezdettel 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megnyitja.</w:t>
      </w:r>
    </w:p>
    <w:p w:rsidR="004B6D34" w:rsidRPr="00E66C6F" w:rsidRDefault="004B6D34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6D34" w:rsidRPr="00E66C6F" w:rsidRDefault="004B6D34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kezdeményezésére a </w:t>
      </w:r>
      <w:r w:rsid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jelenlévők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röviden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bemutatkoznak.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javaslatot tesz a jegyzőkönyv hitelesítőre </w:t>
      </w:r>
      <w:r w:rsidR="00BB0B58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Besenyei Zsófia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Kerületi Önkormányzat Gazdasági és</w:t>
      </w:r>
    </w:p>
    <w:p w:rsidR="001737A3" w:rsidRPr="00E66C6F" w:rsidRDefault="00E96B90" w:rsidP="00B84C4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195/2019.(</w:t>
      </w:r>
      <w:r w:rsidR="001737A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X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1737A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="001737A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E96B90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Besenyei Z</w:t>
      </w:r>
      <w:r w:rsidR="00850009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E96B90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ófia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E96B90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 összeállítására vonatkozó javaslatot</w:t>
      </w:r>
      <w:r w:rsidR="00850009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Kerületi Önkormányzat Gazdasági és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850009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196/2019.(XI.25.) 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határozata</w:t>
      </w:r>
    </w:p>
    <w:p w:rsidR="001737A3" w:rsidRPr="00E66C6F" w:rsidRDefault="001737A3" w:rsidP="00B84C4A">
      <w:pPr>
        <w:tabs>
          <w:tab w:val="left" w:pos="0"/>
          <w:tab w:val="left" w:pos="51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és Tulajdonosi Bizottság úgy dönt, hogy a napirendet az alábbiak szerint fogadja el:</w:t>
      </w: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70BA" w:rsidRPr="00E66C6F" w:rsidRDefault="003D70BA" w:rsidP="001D4386">
      <w:pPr>
        <w:pStyle w:val="Listaszerbekezds"/>
        <w:numPr>
          <w:ilvl w:val="0"/>
          <w:numId w:val="7"/>
        </w:numPr>
        <w:ind w:left="851" w:hanging="567"/>
        <w:jc w:val="both"/>
      </w:pPr>
      <w:r w:rsidRPr="00E66C6F">
        <w:t>A Gazdasági és Tulajdonosi Bizottság ügyrendjének elfogadása és a 259/2017.(X.25.) határozattal elfogadott ügyrend hatályon kívül helyezése</w:t>
      </w:r>
    </w:p>
    <w:p w:rsidR="0055503F" w:rsidRPr="00E66C6F" w:rsidRDefault="0055503F" w:rsidP="001D4386">
      <w:pPr>
        <w:pStyle w:val="Listaszerbekezds"/>
        <w:numPr>
          <w:ilvl w:val="0"/>
          <w:numId w:val="7"/>
        </w:numPr>
        <w:ind w:left="851" w:hanging="567"/>
        <w:jc w:val="both"/>
      </w:pPr>
      <w:r w:rsidRPr="00E66C6F">
        <w:t>Tulajdonosi döntés a 13060 hrsz. alatt nyilvántartott 1026 Budapest II. kerület Szilágyi Erzsébet fasor 17-21. sz. alatti Társasház 2019. május 23-án tartott közgyűlésén az 5/2019.(V.23.) sz. határozat érvénytelenségének megállapítása iránti peres eljárás megindításának jóváhagyásáról</w:t>
      </w:r>
    </w:p>
    <w:p w:rsidR="005D535F" w:rsidRPr="00E66C6F" w:rsidRDefault="005D535F" w:rsidP="001D4386">
      <w:pPr>
        <w:pStyle w:val="Listaszerbekezds"/>
        <w:numPr>
          <w:ilvl w:val="0"/>
          <w:numId w:val="7"/>
        </w:numPr>
        <w:tabs>
          <w:tab w:val="left" w:pos="0"/>
        </w:tabs>
        <w:autoSpaceDN w:val="0"/>
        <w:ind w:left="851" w:hanging="567"/>
        <w:jc w:val="both"/>
        <w:rPr>
          <w:szCs w:val="24"/>
        </w:rPr>
      </w:pPr>
      <w:r w:rsidRPr="00E66C6F">
        <w:t>Javaslat a Budapest, II. kerület Kapás utca 46. I. emelet 3. szám alatti lakásra vonatkozó elővásárlási jogról</w:t>
      </w:r>
    </w:p>
    <w:p w:rsidR="005D535F" w:rsidRPr="00E66C6F" w:rsidRDefault="005D535F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535F" w:rsidRPr="00E66C6F" w:rsidRDefault="005D535F" w:rsidP="00B84C4A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(7 bizottsági tag van jelen, 7 igen, 0 nem, 0 tartózkodás)</w:t>
      </w: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7A3" w:rsidRPr="00E66C6F" w:rsidRDefault="001737A3" w:rsidP="00B84C4A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66C6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Napirend 1. pont</w:t>
      </w:r>
    </w:p>
    <w:p w:rsidR="00F31C78" w:rsidRPr="00E66C6F" w:rsidRDefault="00F31C78" w:rsidP="00B84C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 Gazdasági és Tulajdonosi Bizottság ügyrendjének elfogadása és a 259/2017.(X.25.) határozattal elfogadott ügyrend hatályon kívül helyezése </w:t>
      </w:r>
    </w:p>
    <w:p w:rsidR="001737A3" w:rsidRPr="00E66C6F" w:rsidRDefault="001737A3" w:rsidP="00B84C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6C6F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Előterjesztő</w:t>
      </w:r>
      <w:r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F31C78"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t>dr. Láng Orsolya, a Vagyonhasznosítási és Ingatlan-nyilvántartási</w:t>
      </w:r>
      <w:r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Osztály </w:t>
      </w:r>
      <w:r w:rsidR="00F31C78"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t>osztály</w:t>
      </w:r>
      <w:r w:rsidRPr="00E66C6F">
        <w:rPr>
          <w:rFonts w:ascii="Times New Roman" w:eastAsia="Times New Roman" w:hAnsi="Times New Roman" w:cs="Times New Roman"/>
          <w:sz w:val="24"/>
          <w:szCs w:val="20"/>
          <w:lang w:eastAsia="hu-HU"/>
        </w:rPr>
        <w:t>vezetője</w:t>
      </w:r>
    </w:p>
    <w:p w:rsidR="001737A3" w:rsidRPr="00E66C6F" w:rsidRDefault="001737A3" w:rsidP="00B84C4A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</w:t>
      </w:r>
      <w:r w:rsidR="00E24C5D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Kerületi Önkormányzat Gazdasági és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7570D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197/2019.(XI.25.)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3105B1" w:rsidRPr="00E66C6F" w:rsidRDefault="003105B1" w:rsidP="00B84C4A">
      <w:pPr>
        <w:pStyle w:val="Szvegtrzs21"/>
        <w:ind w:right="6"/>
        <w:rPr>
          <w:szCs w:val="24"/>
        </w:rPr>
      </w:pPr>
      <w:r w:rsidRPr="00E66C6F">
        <w:rPr>
          <w:szCs w:val="24"/>
        </w:rPr>
        <w:t>A Bizottság úgy dönt, hogy az Önkormányzat Szervezeti és Működési Szabályzatáról szóló 13/1992.(VII.01.) önkormányzati rendelet 54. § (4) bekezdésében biztosított joga alapján ügyrendjét a jelen határozat melléklete szerint elfogadja és ezzel egyidejűleg a 259/2017.(X.25.) határozattal elfogadott ügyrendet hatályon kívül helyezi.</w:t>
      </w:r>
    </w:p>
    <w:p w:rsidR="003105B1" w:rsidRPr="00E66C6F" w:rsidRDefault="003105B1" w:rsidP="00B84C4A">
      <w:pPr>
        <w:pStyle w:val="Szvegtrzs21"/>
        <w:ind w:right="8"/>
        <w:rPr>
          <w:szCs w:val="24"/>
        </w:rPr>
      </w:pPr>
    </w:p>
    <w:p w:rsidR="003105B1" w:rsidRPr="00E66C6F" w:rsidRDefault="003105B1" w:rsidP="00B84C4A">
      <w:pPr>
        <w:pStyle w:val="Szvegblokk1"/>
        <w:ind w:left="0" w:right="129"/>
        <w:rPr>
          <w:szCs w:val="24"/>
          <w:lang w:val="hu-HU"/>
        </w:rPr>
      </w:pPr>
      <w:r w:rsidRPr="00E66C6F">
        <w:rPr>
          <w:noProof/>
          <w:szCs w:val="24"/>
          <w:lang w:val="hu-HU"/>
        </w:rPr>
        <w:t xml:space="preserve">A Bizottság a Polgármester és a Jegyző útján felkéri dr. Láng Orsolyát, a Vagyonhasznosítási és Ingatlan-nyilvántartási Osztály vezetőjét, hogy </w:t>
      </w:r>
      <w:r w:rsidRPr="00E66C6F">
        <w:rPr>
          <w:szCs w:val="24"/>
          <w:lang w:val="hu-HU"/>
        </w:rPr>
        <w:t>a szükséges intézkedéseket tegye meg.</w:t>
      </w:r>
    </w:p>
    <w:p w:rsidR="003105B1" w:rsidRPr="00E66C6F" w:rsidRDefault="003105B1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B1" w:rsidRPr="00E66C6F" w:rsidRDefault="003105B1" w:rsidP="00B84C4A">
      <w:pPr>
        <w:tabs>
          <w:tab w:val="left" w:pos="1717"/>
          <w:tab w:val="left" w:pos="8804"/>
          <w:tab w:val="left" w:pos="8931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Felelős:</w:t>
      </w:r>
      <w:r w:rsidRPr="00E66C6F">
        <w:rPr>
          <w:rFonts w:ascii="Times New Roman" w:hAnsi="Times New Roman" w:cs="Times New Roman"/>
          <w:b/>
          <w:sz w:val="24"/>
          <w:szCs w:val="24"/>
        </w:rPr>
        <w:tab/>
      </w:r>
      <w:r w:rsidRPr="00E66C6F">
        <w:rPr>
          <w:rFonts w:ascii="Times New Roman" w:hAnsi="Times New Roman" w:cs="Times New Roman"/>
          <w:sz w:val="24"/>
          <w:szCs w:val="24"/>
        </w:rPr>
        <w:t>Bizottság elnöke</w:t>
      </w:r>
    </w:p>
    <w:p w:rsidR="003105B1" w:rsidRPr="00E66C6F" w:rsidRDefault="003105B1" w:rsidP="00B84C4A">
      <w:pPr>
        <w:tabs>
          <w:tab w:val="left" w:pos="1717"/>
          <w:tab w:val="left" w:pos="8804"/>
          <w:tab w:val="left" w:pos="8931"/>
        </w:tabs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Határidő:</w:t>
      </w:r>
      <w:r w:rsidRPr="00E66C6F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20EED" w:rsidRPr="00E66C6F" w:rsidRDefault="003105B1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(7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1737A3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igen, 0 nem, 0 tartózkodás)</w:t>
      </w:r>
    </w:p>
    <w:p w:rsidR="00B20EED" w:rsidRPr="00E66C6F" w:rsidRDefault="00B20EED" w:rsidP="00B8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B84C4A" w:rsidRPr="00B84C4A" w:rsidRDefault="00B84C4A" w:rsidP="00B84C4A">
      <w:pPr>
        <w:pStyle w:val="Szvegtrzs"/>
        <w:spacing w:after="0"/>
        <w:jc w:val="right"/>
        <w:rPr>
          <w:b/>
        </w:rPr>
      </w:pPr>
      <w:r w:rsidRPr="00B84C4A">
        <w:rPr>
          <w:b/>
        </w:rPr>
        <w:lastRenderedPageBreak/>
        <w:t>197/2019.(XI.25.) határozat melléklete</w:t>
      </w:r>
    </w:p>
    <w:p w:rsidR="00B84C4A" w:rsidRDefault="00B84C4A" w:rsidP="00B84C4A">
      <w:pPr>
        <w:pStyle w:val="Szvegtrzs"/>
        <w:spacing w:after="0"/>
      </w:pPr>
    </w:p>
    <w:p w:rsidR="001D4386" w:rsidRDefault="00B20EED" w:rsidP="00B84C4A">
      <w:pPr>
        <w:pStyle w:val="Szvegtrzs"/>
        <w:spacing w:after="0"/>
        <w:jc w:val="center"/>
        <w:rPr>
          <w:b/>
        </w:rPr>
      </w:pPr>
      <w:r w:rsidRPr="00B84C4A">
        <w:rPr>
          <w:b/>
        </w:rPr>
        <w:t>BUDAPEST FŐ</w:t>
      </w:r>
      <w:r w:rsidR="001D4386">
        <w:rPr>
          <w:b/>
        </w:rPr>
        <w:t>VÁROS II. KERÜLETI ÖNKORMÁNYZAT</w:t>
      </w:r>
    </w:p>
    <w:p w:rsidR="00B20EED" w:rsidRPr="00B84C4A" w:rsidRDefault="00B20EED" w:rsidP="00B84C4A">
      <w:pPr>
        <w:pStyle w:val="Szvegtrzs"/>
        <w:spacing w:after="0"/>
        <w:jc w:val="center"/>
        <w:rPr>
          <w:b/>
        </w:rPr>
      </w:pPr>
      <w:r w:rsidRPr="00B84C4A">
        <w:rPr>
          <w:b/>
        </w:rPr>
        <w:t>GAZDASÁGI ÉS TULAJDONOSI BIZOTTSÁGÁNAK</w:t>
      </w:r>
    </w:p>
    <w:p w:rsidR="00B20EED" w:rsidRPr="00B84C4A" w:rsidRDefault="00B20EED" w:rsidP="00B84C4A">
      <w:pPr>
        <w:pStyle w:val="Szvegtrzs"/>
        <w:spacing w:after="0"/>
        <w:jc w:val="center"/>
        <w:rPr>
          <w:b/>
        </w:rPr>
      </w:pPr>
      <w:r w:rsidRPr="00B84C4A">
        <w:rPr>
          <w:b/>
        </w:rPr>
        <w:t>ÜGYRENDJE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 xml:space="preserve">A Budapest Főváros II. Kerületi Önkormányzat Gazdasági és Tulajdonosi Bizottsága – a továbbiakban: </w:t>
      </w:r>
      <w:r w:rsidRPr="00E66C6F">
        <w:rPr>
          <w:rFonts w:ascii="Times New Roman" w:hAnsi="Times New Roman" w:cs="Times New Roman"/>
          <w:b/>
          <w:sz w:val="24"/>
          <w:szCs w:val="24"/>
        </w:rPr>
        <w:t>Bizottság</w:t>
      </w:r>
      <w:r w:rsidRPr="00E66C6F">
        <w:rPr>
          <w:rFonts w:ascii="Times New Roman" w:hAnsi="Times New Roman" w:cs="Times New Roman"/>
          <w:sz w:val="24"/>
          <w:szCs w:val="24"/>
        </w:rPr>
        <w:t xml:space="preserve"> – az Önkormányzat Szervezeti és Működési Szabályzatáról szóló 13/1992.(VII.01.) önkormányzati rendelet (a továbbiakban: </w:t>
      </w:r>
      <w:r w:rsidRPr="00E66C6F">
        <w:rPr>
          <w:rFonts w:ascii="Times New Roman" w:hAnsi="Times New Roman" w:cs="Times New Roman"/>
          <w:b/>
          <w:sz w:val="24"/>
          <w:szCs w:val="24"/>
        </w:rPr>
        <w:t>SZMSZ</w:t>
      </w:r>
      <w:r w:rsidRPr="00E66C6F">
        <w:rPr>
          <w:rFonts w:ascii="Times New Roman" w:hAnsi="Times New Roman" w:cs="Times New Roman"/>
          <w:sz w:val="24"/>
          <w:szCs w:val="24"/>
        </w:rPr>
        <w:t>) 54. § (4) bekezdésében biztosított jogával élve, belső működési szabályait, ügyrendjét az alábbiak szerint fogadja el: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1. § A Bizottság szervezete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 elnökét és tagjait a Képviselő-testület választja meg.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bizottsági ülést az elnök hívja össze és vezeti, akit akadályoztatása esetén az általa e-mail útján felkért bizottsági tag teljes jogkörrel helyettesít, utólagos beszámolási kötelezettséggel az elnök részére.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Szükség esetén a Bizottság tagjai sorából adott feladatra albizottságot hozhat létre. Az albizottságnak legalább három taggal kell működnie. Az albizottság működésének szabályait és feladatait a Bizottság határozza meg. Ellenkező rendelkezés hiányában az albizottságra, annak működésére a jelen ügyrendben foglaltakat kell megfelelően alkalmazni.</w:t>
      </w:r>
    </w:p>
    <w:p w:rsidR="00B20EED" w:rsidRPr="00E66C6F" w:rsidRDefault="00B20EED" w:rsidP="00B84C4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Bizottság rendszeres és eseti feladatainak ellátására munkacsoportot hozhat létre. A munkacsoport tagjai a bizottsági tagok, az állandó és eseti szakértők lehetnek. A munkacsoport vezetője csak bizottsági tag lehet.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2. § A Bizottság feladat- és hatásköre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ellátja az SZMSZ-ben, valamint a Képviselő-testület által kialakított bizottságok hatásköréről, a bizottságok és tanácsnokok feladatköréről szóló 24/2019.(XI.18.) önkormányzati rendeletben rögzített feladat- és hatásköröket, továbbá mindazokat a feladat- és hatásköröket, amelyeket jogszabály a feladat- és hatáskörébe utal.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3. § Az ülések összehívása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bizottsági ülést az elnök 4 nappal az ülés előtt írásbeli meghívóval hívja össze az ülés helyszínének és időpontjának, valamint a tervezett</w:t>
      </w:r>
      <w:r w:rsidRPr="00E66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6C6F">
        <w:rPr>
          <w:rFonts w:ascii="Times New Roman" w:hAnsi="Times New Roman" w:cs="Times New Roman"/>
          <w:sz w:val="24"/>
          <w:szCs w:val="24"/>
        </w:rPr>
        <w:t>napirendek és azok előadóinak megjelölésével. Az elnök akadályozatása esetén a bizottsági ülést az általa e-mail útján felkért bizottsági tag hívja össze az 1.§ (2) bekezdés szerinti utólagos elszámolási kötelezettséggel az elnök részére.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meghívóhoz mellékelni kell a napirenddel kapcsolatban készített írásbeli előterjesztéseket is. A bizottsági ülés meghívóját és a napirenden szereplő előterjesztéseket a bizottsági tagok e-mailben kapják meg.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Indokolt esetben lehetőség van az anyag pótkézbesítésére vagy helyszíni kiosztására is. Azon napirendek írásos anyagát, amelyet már korábban kézbesítettek (ideértve a képviselő-testületi anyagokat is), a meghívóval együtt ismételten megküldeni nem kell, de utalni kell arra, hogy mikor küldték meg azokat.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bizottsági ülésre szóló elektronikus meghívót 4 nappal az ülés előtt a Bizottság működésének ügyviteli feladatait ellátó Vagyonhasznosítási és Ingatlan-nyilvántartási Osztály megküldi: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elnökének és tagjainak,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polgármesternek,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 alpolgármestereknek,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jegyzőnek,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napirendek előadóinak,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Pesthidegkúti Városrészi Önkormányzat elöljárójának, amennyiben a Bizottság a városrészt érintő kérdést tárgyal,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azok részére, akiknek jelenlétét az elnök az egyes napirendi pontok tárgyalásánál szükségesnek tartja.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helyszínen csak halaszthatatlan döntést igénylő előterjesztések napirendre vételét lehet kezdeményezni.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Bizottság minden hónapban rendes ülést tart.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Július 1-jétől szeptember 1-jéig a Bizottság rendes ülést nem tart.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szükség esetén rendkívüli ülést is tarthat, amelyre a meghívót legalább 2 nappal</w:t>
      </w:r>
      <w:r w:rsidRPr="00E66C6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66C6F">
        <w:rPr>
          <w:rFonts w:ascii="Times New Roman" w:hAnsi="Times New Roman" w:cs="Times New Roman"/>
          <w:sz w:val="24"/>
          <w:szCs w:val="24"/>
        </w:rPr>
        <w:t>sürgős esetekben pedig legalább 24 órával előtte meg kell küldeni.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lastRenderedPageBreak/>
        <w:t>(5) Az ülést az elnöknek össze kell hívni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Képviselő-testület határozatára,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bizottsági tagok legalább egynegyedének indítványára,</w:t>
      </w:r>
    </w:p>
    <w:p w:rsidR="00B20EED" w:rsidRPr="00E66C6F" w:rsidRDefault="00B20EED" w:rsidP="00B84C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polgármester, az alpolgármesterek indítványára.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bizottsági ülést a Képviselő-testület, valamint a bizottsági tagok legalább egynegyedének indítványára tizenöt, a polgármester, az alpolgármesterek indítványára pedig az indítvány kézhezvételétől számított nyolc napon belül kell összehívni.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Rendkívüli ülés összehívására vonatkozó indítványt az elnökhöz kell előterjeszteni.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(7) A bizottsági ülés időpontját, helyszínét és a javasolt napirendi pontokat az önkormányzat honlapján közzé kell tenni.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4. § A Bizottság üléseinek rendje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Az ülésen tanácskozási joggal vehet részt: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polgármester,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 alpolgármesterek,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Képviselő-testület tagja,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jegyző, az aljegyző,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gazdasági igazgató,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Vagyonhasznosítási és Ingatlan-nyilvántartási Osztály vezetője/képviselője,</w:t>
      </w:r>
    </w:p>
    <w:p w:rsidR="00B20EED" w:rsidRPr="00E66C6F" w:rsidRDefault="00B20EED" w:rsidP="00B84C4A">
      <w:pPr>
        <w:pStyle w:val="Szvegtrzsbehzssal3"/>
        <w:numPr>
          <w:ilvl w:val="0"/>
          <w:numId w:val="18"/>
        </w:numPr>
        <w:spacing w:after="0"/>
        <w:rPr>
          <w:sz w:val="24"/>
          <w:szCs w:val="24"/>
        </w:rPr>
      </w:pPr>
      <w:r w:rsidRPr="00E66C6F">
        <w:rPr>
          <w:sz w:val="24"/>
          <w:szCs w:val="24"/>
        </w:rPr>
        <w:t>a kisebbségi önkormányzatok elnökei, ha a bizottság őket érintő kérdést tárgyal,</w:t>
      </w:r>
    </w:p>
    <w:p w:rsidR="00B20EED" w:rsidRPr="00E66C6F" w:rsidRDefault="00B20EED" w:rsidP="00B84C4A">
      <w:pPr>
        <w:pStyle w:val="Szvegtrzsbehzssal3"/>
        <w:numPr>
          <w:ilvl w:val="0"/>
          <w:numId w:val="18"/>
        </w:numPr>
        <w:spacing w:after="0"/>
        <w:rPr>
          <w:sz w:val="24"/>
          <w:szCs w:val="24"/>
        </w:rPr>
      </w:pPr>
      <w:r w:rsidRPr="00E66C6F">
        <w:rPr>
          <w:sz w:val="24"/>
          <w:szCs w:val="24"/>
        </w:rPr>
        <w:t>a napirenden lévő kérdés által érintett és olyan minőségben meghívott személy, vagy szervezet képviselője,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által meghívott szakértő.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 ülései – a (3) és (4) bekezdésekben foglaltak kivételével – nyilvánosak.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Bizottság zárt ülést tart személyi ügyben, ha a napirendi pont nyilvános tárgyalása személyiségi jogokat sérthet, illetve érint és az érintett személy a nyilvános tárgyalásba nem egyezik bele, valamint önkormányzati hatósági ügy tárgyalásakor.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Bizottság zárt ülést rendelhet el vagyonnal való rendelkezés esetén, továbbá az Önkormányzat által kiírt pályázat feltételeinek meghatározásakor, a pályázat tárgyalásakor, ha a nyilvános tárgyalás az Önkormányzat vagy az érintett üzleti érdekét sértené.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(5) A (4) bekezdés esetén a zárt ülés elrendeléséről a Bizottság minősített szótöbbséggel határoz.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A zárt ülésen – törvény erejénél fogva – a Képviselő-testület tagjai, a jegyző, az aljegyző vagy a jegyző által megbízott köztisztviselő, a napirend előadója, a jegyzőkönyv vezetője vesz részt, továbbá akit a Bizottság e célból meghívott. Törvény vagy önkormányzati rendelet előírhatja, mely esetben kötelező az érintett meghívása.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(7) A zárt ülésen történtek tekintetében minden jelenlévőt titoktartási kötelezettség terhel, amire a nem bizottsági, illetve nem képviselő résztvevők figyelmét az ülés vezetője köteles felhívni.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(8) A Bizottságot és más bizottságot vagy a Pesthidegkúti Városrészi Önkormányzatot érintő ügy tárgyalására együttes ülést célszerű tartani az SZMSZ 56. § (6) bekezdésében rögzített eljárásrend szerint.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5. § Az előterjesztések rendje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Előterjesztés lehet a Bizottság ülésére: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rendelet-tervezet,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határozati javaslat,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beszámoló, jelentés,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tájékoztató,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önálló indítvány.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Előterjesztést tehetnek a Bizottság ülésére: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polgármester,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 alpolgármesterek,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jegyző,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tagjai,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 által létrehozott albizottság,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képviselők,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jegyző, illetve a polgármester útján (átruházott jogkörében) kijelölt hivatali köztisztviselő,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Képviselő-testület bizottságai,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 Önkormányzat gazdasági társaságainak törvényes képviselői.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lastRenderedPageBreak/>
        <w:t>(3) A Bizottság feladat- és hatáskörébe tartozó ügyekben közvetlenül érkezett, bizottsági döntést kezdeményező kérelmeket a Bizottság elnöke terjeszti elő. Szükség esetén az ügyben érintett más bizottság (ok) elnökénél kezdeményez egyeztetést és/vagy együttes bizottsági ülést.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Bármely képviselő javasolhatja a Bizottság elnökének a Bizottság feladatkörébe tartozó kérdés megtárgyalását, amelyet a Bizottság legközelebbi ülése elé kell terjeszteni. A tárgyalásra az indítványozó képviselőt meg kell hívni.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(5) A megfelelően előkészített előterjesztést – ha a Bizottság elnöke külön határidőt nem állapított meg – a soron következő rendes bizottsági ülés elé kell utalni.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A Bizottság napirendjére csak írásbeli előterjesztés kerülhet, kivéve azon ügyeket, amelyek jellege csak szóbeli tájékoztatást igényel.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6. § Határozatképesség, határozathozatal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bizottsági ülés határozatképes, ha a döntéshozatalnál a bizottsági tagok több mint a fele jelen van.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 a döntéseit – jogszabály eltérő rendelkezése hiányában – egyszerű többséget igénylő javaslat esetén egyszerű szótöbbséggel – a jelenlévők több, mint felének igenlő szavazatával - hozza. Minősített többséget igénylő javaslat esetén a Bizottság a döntéseit a megválasztott bizottsági tagok több, mint felének a szavazatával hozza, azzal, hogy a betöltetlen bizottsági tagi helyet a határozatképesség szempontjából betöltöttnek kell tekinteni.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Bizottság döntéseit fő szabályként nyílt szavazással hozza.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Nyílt szavazás esetén a Bizottság név szerint szavaz a bizottsági tagok egynegyedének indítványára, továbbá név szerinti szavazást rendelhet el az SZMSZ-ben meghatározott esetekben.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Titkos szavazást a Bizottság tagjai, az állandó meghívottak, vagy az adott napirendhez meghívottak javasolhatnak. A Bizottság titkos szavazást tart jogszabályban meghatározott esetekben, titkos szavazást tarthat továbbá a 4. § (3) és (4) bekezdéseiben meghatározott ügyekben.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Bizottság döntéshozatalából kizárható az, akit</w:t>
      </w:r>
      <w:r w:rsidR="001D4386">
        <w:rPr>
          <w:rFonts w:ascii="Times New Roman" w:hAnsi="Times New Roman" w:cs="Times New Roman"/>
          <w:sz w:val="24"/>
          <w:szCs w:val="24"/>
        </w:rPr>
        <w:t>,</w:t>
      </w:r>
      <w:r w:rsidRPr="00E66C6F">
        <w:rPr>
          <w:rFonts w:ascii="Times New Roman" w:hAnsi="Times New Roman" w:cs="Times New Roman"/>
          <w:sz w:val="24"/>
          <w:szCs w:val="24"/>
        </w:rPr>
        <w:t xml:space="preserve"> vagy akinek hozzátartozóját az ügy személyesen érinti (Magyarország helyi önkormányzatairól szóló 2011. évi CLXXXIX. törvény (a továbbiakban: </w:t>
      </w:r>
      <w:r w:rsidRPr="00E66C6F">
        <w:rPr>
          <w:rFonts w:ascii="Times New Roman" w:hAnsi="Times New Roman" w:cs="Times New Roman"/>
          <w:b/>
          <w:sz w:val="24"/>
          <w:szCs w:val="24"/>
        </w:rPr>
        <w:t>Mötv.</w:t>
      </w:r>
      <w:r w:rsidRPr="00E66C6F">
        <w:rPr>
          <w:rFonts w:ascii="Times New Roman" w:hAnsi="Times New Roman" w:cs="Times New Roman"/>
          <w:sz w:val="24"/>
          <w:szCs w:val="24"/>
        </w:rPr>
        <w:t xml:space="preserve">) 49. § (1) bekezdés, SZMSZ 60. §). A bizottsági tag köteles bejelenteni a </w:t>
      </w:r>
      <w:r w:rsidRPr="00E66C6F">
        <w:rPr>
          <w:rFonts w:ascii="Times New Roman" w:hAnsi="Times New Roman" w:cs="Times New Roman"/>
          <w:sz w:val="24"/>
          <w:szCs w:val="24"/>
        </w:rPr>
        <w:lastRenderedPageBreak/>
        <w:t>személyes érintettséget. A kizárásról az érintett kezdeményezésére vagy bármely tag javaslatára a Bizottság dönt. A javaslat elfogadásához a tagok több mint a felének igen szavazata szükséges. A kizárt tagot a határozatképesség szempontjából jelenlévőnek kell tekinteni. A fennálló kizáró okot a Bizottság tagja köteles bejelenteni. A kizárásról az elnök esetén a polgármester, bizottsági tag esetén a Bizottság dönt.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(5) A Bizottság határozatképességére és határozathozatalára egyebekben az SZMSZ Képviselő-testületre vonatkozó szabályait kell alkalmazni.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Bármely képviselő kezdeményezheti a Képviselő-testületnél a bizottsági döntés felülvizsgálatát.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(7) A polgármester az SZMSZ 59. § (9) bekezdésében foglaltak szerint felfüggesztheti a Bizottság döntésének végrehajtását, ha az ellentétes a Képviselő-testület határozatával, vagy ha az sérti az Önkormányzat érdekeit. A felfüggesztett döntésről a Képviselő-testület a következő ülésén határoz. Nem kell a Képviselő-testület elé terjeszteni a kérdést, ha a képviselő-testületi ülést megelőzően a Bizottság az érintett kérdést újból megtárgyalhatja, és a felfüggesztésnek helyt adva, korábbi határozatát megváltoztatja.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C4A" w:rsidRPr="00E66C6F" w:rsidRDefault="00B84C4A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7. § Az ülés napirendje, vezetése, előterjesztések rendje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Az ülést az elnök, akadályoztatása esetén az általa felkért bizottsági tag vezeti.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Az ülés megnyitása után az elnök megállapítja a Bizottság határozatképességét és javaslatot tesz a jegyzőkönyv hitelesítőjének személyére, valamint a napirendre, amelyeket a Bizottság határozathozatal útján fogad el.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Valamely napirendi pont sürgős tárgyalását bármely bizottsági tag, a polgármester, az alpolgármesterek, a jegyző, a frakcióvezető, a polgármester útján a Polgármesteri Hivatal kijelölt osztályai indítványozhatnak, mellékelve az előterjesztéshez kapcsolódó írásos anyagot. A napirendi pont sürgős tárgyalása elrendeléséről a Bizottság – jogszabály eltérő rendelkezése hiányában - vita nélkül, egyszerű többséggel dönt. Sürgősségi tárgyalás esetén a döntést a tárgyalás napján meg kell hozni. Ilyenkor egy felszólalás legfeljebb 5 percig tarthat és nem hosszabbítható meg.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napirendi pontok megtárgyalása előtt aktuális bejelentésekre, tájékoztatásokra kerülhet sor, melynek időtartamát a Bizottság korlátozhatja.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(5) A Bizottság a napirendi pontokat az alábbiak szerint tárgyalja meg: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Az előterjesztő, az esetleges szóbeli kiegészítés után, a felmerült kérdésekre is válaszol.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Ezt követően hozzászólások, vita, majd az előterjesztésben szereplő határozati javaslatok szavazása következik.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szavazás során először az esetlegesen felmerülő módosító indítványokról kell szavazni.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szavazás eredményét (a szavazati arányok feltüntetésével), valamint az elfogadott határozat szövegét az elnök jegyzőkönyvbe mondja.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A napirendek megtárgyalása után az ülést be kell rekeszteni, a jegyzőkönyvet le kell zárni.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8. § A jegyzőkönyv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 üléséről írásbeli jegyzőkönyvet kell készíteni. A Bizottság üléséről hangfelvétel is készül.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jegyzőkönyvet és a kivonatolt határozatokat az ülést követő legkésőbb 8 napon belül gépírásos formában el kell készíteni.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jegyzőkönyv 8 napon belüli elkészítéséért és hitelesítéséért a Vagyonhasznosítási és Ingatlan-nyilvántartási Osztály vezetője, illetve a Bizottság elnöke felel.</w:t>
      </w:r>
    </w:p>
    <w:p w:rsidR="00B20EED" w:rsidRPr="00E66C6F" w:rsidRDefault="00B20EED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bizottsági ülésről készült aláírt jegyzőkönyv egy példányát az üléstől számított 8 napon belül meg kell küldeni a jegyzőnek. A jegyző a Vagyonhasznosítási és Ingatlan-nyilvántartási Osztály útján 15 napon belül köteles a jegyzőkönyvet megküldeni a Kormányhivatalnak.</w:t>
      </w:r>
    </w:p>
    <w:p w:rsidR="00B20EED" w:rsidRPr="00E66C6F" w:rsidRDefault="00B20EED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bizottsági ügyintéző az elkészült jegyzőkönyvet törvényességi szempontból ellenőrzi, amennyiben a bizottsági döntést, a döntéshozatal módját, illetve a jegyzőkönyv formáját jogszabálysértőnek tartja, észrevételét írásban jelzi az illetékes Osztályvezető, a Bizottság elnöke és a Jegyző felé.</w:t>
      </w:r>
    </w:p>
    <w:p w:rsidR="00B20EED" w:rsidRPr="00E66C6F" w:rsidRDefault="00B20EED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lastRenderedPageBreak/>
        <w:t>(5) A Vagyonhasznosítási és Ingatlan-nyilvántartási Osztály vezetője köteles gondoskodni arról, hogy a lejárt határidejű bizottsági határozatok végrehajtásáról szóló jelentést a Bizottság elnöke rendszeresen megkapja, annak érdekében, hogy azt a Bizottság elé terjeszthesse.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A jegyzőkönyv tartalmazza: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bizottsági ülés helyét, időpontját;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megjelentek nevét;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tanácskoz</w:t>
      </w:r>
      <w:r w:rsidR="001D4386">
        <w:rPr>
          <w:rFonts w:ascii="Times New Roman" w:hAnsi="Times New Roman" w:cs="Times New Roman"/>
          <w:sz w:val="24"/>
          <w:szCs w:val="24"/>
        </w:rPr>
        <w:t>ási joggal megjelentek névsorát;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meghívottak nevét, megjelenésük tényét;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javasolt, elfogadott és tárgyalt napirendi pontokat;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az előterjesztéseket;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az egyes napirendi pontokhoz hozzászólók nevét, részvételük jogcímét, a hozzászólásuk, továbbá az ülésen elhangzottak lényegét;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szavazásra feltett döntési javaslat pontos tartalmát;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döntéshozatalban résztvevők számát;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döntésből kizárt önkormányzati képviselő nevét és a kizárás indokát;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jegyző jogszabálysértésre vonatkozó jelzését;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szavazás számszerű eredményét;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a hozott döntéseket;</w:t>
      </w:r>
    </w:p>
    <w:p w:rsidR="00B20EED" w:rsidRPr="00E66C6F" w:rsidRDefault="00B20EED" w:rsidP="00B84C4A">
      <w:pPr>
        <w:pStyle w:val="NormlWeb"/>
        <w:numPr>
          <w:ilvl w:val="0"/>
          <w:numId w:val="18"/>
        </w:numPr>
        <w:spacing w:before="0" w:beforeAutospacing="0" w:after="0" w:afterAutospacing="0"/>
        <w:ind w:left="714" w:hanging="357"/>
        <w:jc w:val="both"/>
      </w:pPr>
      <w:r w:rsidRPr="00E66C6F">
        <w:t>határozatképtelenség esetén az ülés félbeszakadásának és újrakezdésének időpontját és</w:t>
      </w:r>
    </w:p>
    <w:p w:rsidR="00B20EED" w:rsidRPr="00E66C6F" w:rsidRDefault="00B20EED" w:rsidP="00B84C4A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 xml:space="preserve">egyéb, a bizottsági belső szabályzatban </w:t>
      </w:r>
      <w:r w:rsidR="001D4386">
        <w:rPr>
          <w:rFonts w:ascii="Times New Roman" w:hAnsi="Times New Roman" w:cs="Times New Roman"/>
          <w:sz w:val="24"/>
          <w:szCs w:val="24"/>
        </w:rPr>
        <w:t>rögzítetteket.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(7) A jegyzőkönyvet a Bizottság elnöke és egy tagja írja alá.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(8) A jegyzőkönyvhöz csatolni kell az előterjesztéseket, a meghívót, a jelenléti ívet.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(9) A jegyzőkönyvből határozati kivonatot kell készíteni azon érintettek részére, akikre tartozik, vagy akikre a határozat feladatot ró.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(10) Zárt ülésről külön jegyzőkönyvet kell készíteni és elkülönítetten kell kezelni.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9. § A határozat</w:t>
      </w: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 döntéseit, állásfoglalásait, javaslatait, indítványait határozati formában hozza.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lastRenderedPageBreak/>
        <w:t>(2) A határozatokat évente kezdődően arab számmal, folyamatos sorszámozással kell ellátni, törve az ülés időpontjával.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határozatokról tárgyuk és számuk szerint nyilvántartást kell vezetni. A nyilvántartás vezetéséért a Bizottság adminisztratív munkatársa a felelős.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(4) A határozat tartalmától függően, szükség szerint fel kell tüntetni a teljesítési határidőt és a végrehajtásért felelős nevét.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(5) A határozatokban felelősként a polgármester, a jegyző vagy a Bizottság elnöke jelölhető meg.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(6) Ha a határozat az önkormányzat szervein kívüli más szervet, gazdasági társaságot jelöl meg végrehajtónak, a megbízást a Bizottság elnöke 5 napon belül köteles kiadni a határidő megjelölésével.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10. § Ügyiratkezelés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 üléseiről készült jegyzőkönyveket iktatni kell.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 működésének technikai feltételeiről (beleértve az adminisztrációs, leírói, ügyiratkezelői tevékenységet is) a Polgármesteri Hivatal, illetve azon belül a Vagyonhasznosítási és Ingatlan-nyilvántartási Osztály gondoskodik a mindenkor hatályos ügyiratkezelési szabályzat szerint.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11. § Megbízások, szerződések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bizottsági határozat(ok), illetve a Bizottság illetékessége feletti értékhatárú ügyletek esetén képviselő-testületi határozat(ok) alapján értékesített, hasznosított vagyontárgyak tekintetében készített szerződés aláírására az Önkormányzat rendeleteiben, illetve az SZMSZ-ben foglalt szabályokat kell alkalmazni.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12. § Munkaterv</w:t>
      </w:r>
    </w:p>
    <w:p w:rsidR="00B20EED" w:rsidRPr="00E66C6F" w:rsidRDefault="00B20EED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Az előre látható, elvégzendő feladatok ütemezésére munkatervet lehet készíteni.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lastRenderedPageBreak/>
        <w:t>(2) Munkatervi javaslatot a Bizottság albizottsága, a bizottsági tagok, a polgármester, az alpolgármesterek, a jegyző tehetnek. A munkaterv bizottsági ülésre való előterjesztése az elnök feladata.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munkatervet a Bizottság egyszerű többséggel fogadja el.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13. § Képviselet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Bizottságot harmadik személyek előtt az elnök képviseli. A Bizottság elnökének képviseleti jogkörében tett nyilatkozata a Bizottsággal egyetértésben kialakított véleményt tartalmazhatja.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14. § Záradék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(1) A Bizottság a jelen ügyrendjét a ……/2019.(XI.25.) határozatával fogadta el.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A jelen ügyrend 2019. november 25. napjával, annak elfogadását követően azonnal hatályba lép, és ezzel egyidejűleg a Bizottság 259/2017.(X.25.) határozattal elfogadott ügyrendje hatályát veszti.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(2) A Bizottság jelen ügyrendjében nem szabályozott kérdésekben a SZMSZ-ben foglaltakat kell megfelelően alkalmazni.</w:t>
      </w: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(3) A Bizottság elnöke az ügyrend egy példányát az elfogadást követő 8 napon belül a Jegyzői Titkárság útján a jegyzőnek megküldi.</w:t>
      </w:r>
    </w:p>
    <w:p w:rsidR="00B20EED" w:rsidRPr="00E66C6F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Budapest, 2019. november …….</w:t>
      </w:r>
    </w:p>
    <w:p w:rsidR="00B20EED" w:rsidRPr="00E66C6F" w:rsidRDefault="00B20EED" w:rsidP="00B84C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20EED" w:rsidRPr="00E66C6F" w:rsidRDefault="00B20EED" w:rsidP="00B84C4A">
      <w:pPr>
        <w:pStyle w:val="Szvegtrzs2"/>
        <w:spacing w:after="0" w:line="240" w:lineRule="auto"/>
        <w:ind w:left="4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Dr. Biró Zsolt</w:t>
      </w:r>
    </w:p>
    <w:p w:rsidR="00B20EED" w:rsidRPr="00E66C6F" w:rsidRDefault="00B20EED" w:rsidP="00B84C4A">
      <w:pPr>
        <w:pStyle w:val="Szvegtrzs2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 xml:space="preserve">    Elnök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0EED" w:rsidRPr="00E66C6F" w:rsidRDefault="00B20EED" w:rsidP="00B84C4A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6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2. pont</w:t>
      </w:r>
    </w:p>
    <w:p w:rsidR="00B20EED" w:rsidRDefault="00B20EED" w:rsidP="00B84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Tulajdonosi döntés a 13060 hrsz. alatt nyilvántartott 1026 Budapest II. kerület Szilágyi Erzsébet fasor 17-2</w:t>
      </w:r>
      <w:r w:rsidR="00616F15" w:rsidRPr="00E66C6F">
        <w:rPr>
          <w:rFonts w:ascii="Times New Roman" w:hAnsi="Times New Roman" w:cs="Times New Roman"/>
          <w:sz w:val="24"/>
          <w:szCs w:val="24"/>
        </w:rPr>
        <w:t xml:space="preserve">1. </w:t>
      </w:r>
      <w:r w:rsidRPr="00E66C6F">
        <w:rPr>
          <w:rFonts w:ascii="Times New Roman" w:hAnsi="Times New Roman" w:cs="Times New Roman"/>
          <w:sz w:val="24"/>
          <w:szCs w:val="24"/>
        </w:rPr>
        <w:t>sz. alatti Társasház 2019. május 23-án tartott közgyűlésén az 5/2019.(V.23.) sz. határozat érvénytelenségének megállapítása iránti peres eljárás megindításának jóváhagyásáról</w:t>
      </w:r>
    </w:p>
    <w:p w:rsidR="00B20EED" w:rsidRPr="00E66C6F" w:rsidRDefault="00B20EED" w:rsidP="00B84C4A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6C6F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E66C6F">
        <w:rPr>
          <w:rFonts w:ascii="Times New Roman" w:hAnsi="Times New Roman" w:cs="Times New Roman"/>
          <w:sz w:val="24"/>
          <w:szCs w:val="24"/>
        </w:rPr>
        <w:t>: dr. Láng Orsolya, a Vagyonhasznosítási és Ingatlan-nyilvántartási Osztály osztál</w:t>
      </w:r>
      <w:r w:rsidR="000C1EC6" w:rsidRPr="00E66C6F">
        <w:rPr>
          <w:rFonts w:ascii="Times New Roman" w:hAnsi="Times New Roman" w:cs="Times New Roman"/>
          <w:sz w:val="24"/>
          <w:szCs w:val="24"/>
        </w:rPr>
        <w:t>yvezetője</w:t>
      </w:r>
    </w:p>
    <w:p w:rsidR="00B20EED" w:rsidRPr="00B84C4A" w:rsidRDefault="00B20EED" w:rsidP="00B84C4A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</w:t>
      </w:r>
      <w:r w:rsidR="001E6E3D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 az előterjesztésben leírtakkal egyező tartalommal, változtatás nélkül.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Kerületi Önkormányzat Gazdasági és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0C1EC6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198/2019.(XI.25.)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E3D" w:rsidRPr="00E66C6F" w:rsidRDefault="001E6E3D" w:rsidP="00B84C4A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E66C6F">
        <w:rPr>
          <w:rFonts w:ascii="Times New Roman" w:hAnsi="Times New Roman" w:cs="Times New Roman"/>
          <w:sz w:val="24"/>
          <w:szCs w:val="24"/>
        </w:rPr>
        <w:t>A Bizot</w:t>
      </w:r>
      <w:r w:rsidR="00B84C4A">
        <w:rPr>
          <w:rFonts w:ascii="Times New Roman" w:hAnsi="Times New Roman" w:cs="Times New Roman"/>
          <w:sz w:val="24"/>
          <w:szCs w:val="24"/>
        </w:rPr>
        <w:t>tság úgy dönt, hogy a 134/2019.</w:t>
      </w:r>
      <w:r w:rsidRPr="00E66C6F">
        <w:rPr>
          <w:rFonts w:ascii="Times New Roman" w:hAnsi="Times New Roman" w:cs="Times New Roman"/>
          <w:sz w:val="24"/>
          <w:szCs w:val="24"/>
        </w:rPr>
        <w:t>(VI.26.) határozatát kiegészíti azzal, hogy a Budapest Főváros II. Kerületi Önkormányzat, mint a 1026 Budapest II. Kerület Szilágyi Erzsébet fasor 17-21. sz. alatti Társasházban (Budapest II. kerület 13060 hrsz.) 647/10000 közös tulajdoni hányaddal rendelkező tulajdonostárs a 1026 Budapest II. kerület Szilágyi Erzsébet fasor 17-21. sz. alatti Társasház 2019. május 23. napján tartott közgyűlésén meghozott 5/2019. (V.23.) sz. határozat érvénytelenségének megállapítása iránt a társasházakról szóló 2003. évi CXXXIII. törvény 42. § (1) bekezdése alapján előterjesztett keresetet jóváhagyja</w:t>
      </w:r>
      <w:r w:rsidRPr="00E66C6F">
        <w:rPr>
          <w:rFonts w:ascii="Times New Roman" w:hAnsi="Times New Roman" w:cs="Times New Roman"/>
          <w:b/>
          <w:sz w:val="24"/>
          <w:szCs w:val="24"/>
        </w:rPr>
        <w:t>, mert a határozat a Thtv. 47. § c) pontjába, 48. § (1) bekezdés f) pontjába, valamint az SZMSZ B. 2.) pontjába ütközik</w:t>
      </w:r>
      <w:r w:rsidRPr="00E66C6F">
        <w:rPr>
          <w:rFonts w:ascii="Times New Roman" w:hAnsi="Times New Roman" w:cs="Times New Roman"/>
          <w:sz w:val="24"/>
          <w:szCs w:val="24"/>
        </w:rPr>
        <w:t>.</w:t>
      </w:r>
    </w:p>
    <w:p w:rsidR="001E6E3D" w:rsidRPr="00E66C6F" w:rsidRDefault="001E6E3D" w:rsidP="00B84C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1E6E3D" w:rsidRPr="00E66C6F" w:rsidRDefault="001E6E3D" w:rsidP="00B84C4A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E66C6F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E66C6F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E66C6F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hogy a szükséges intézkedéseket tegyék meg.</w:t>
      </w:r>
    </w:p>
    <w:p w:rsidR="001E6E3D" w:rsidRPr="00E66C6F" w:rsidRDefault="001E6E3D" w:rsidP="00B84C4A">
      <w:pPr>
        <w:widowControl w:val="0"/>
        <w:tabs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1E6E3D" w:rsidRPr="00E66C6F" w:rsidRDefault="001E6E3D" w:rsidP="00B84C4A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E66C6F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E66C6F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="00B84C4A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</w:t>
      </w:r>
      <w:r w:rsidR="001D4386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</w:p>
    <w:p w:rsidR="001E6E3D" w:rsidRPr="00E66C6F" w:rsidRDefault="001E6E3D" w:rsidP="00B84C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E66C6F">
        <w:rPr>
          <w:rFonts w:ascii="Times New Roman" w:hAnsi="Times New Roman" w:cs="Times New Roman"/>
          <w:sz w:val="24"/>
          <w:szCs w:val="24"/>
        </w:rPr>
        <w:tab/>
        <w:t>15 nap</w:t>
      </w:r>
    </w:p>
    <w:p w:rsidR="004D188D" w:rsidRPr="00E66C6F" w:rsidRDefault="004D188D" w:rsidP="00B84C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E3D" w:rsidRPr="00E66C6F" w:rsidRDefault="001E6E3D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976661" w:rsidRPr="00E66C6F" w:rsidRDefault="00976661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6661" w:rsidRPr="00E66C6F" w:rsidRDefault="00976661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Sáska Vera és Dr. Tas Krisztián </w:t>
      </w:r>
      <w:r w:rsidR="00B84C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meghívottak 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</w:t>
      </w:r>
      <w:r w:rsidR="00B84C4A">
        <w:rPr>
          <w:rFonts w:ascii="Times New Roman" w:eastAsia="Times New Roman" w:hAnsi="Times New Roman" w:cs="Times New Roman"/>
          <w:sz w:val="24"/>
          <w:szCs w:val="24"/>
          <w:lang w:eastAsia="zh-CN"/>
        </w:rPr>
        <w:t>és hivatalos helyiségéből távozna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AB5AAA" w:rsidP="00B8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Napirend 3</w:t>
      </w:r>
      <w:r w:rsidR="001737A3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 pont</w:t>
      </w:r>
    </w:p>
    <w:p w:rsidR="00AB5AAA" w:rsidRPr="00E66C6F" w:rsidRDefault="00AB5AAA" w:rsidP="00B84C4A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sz w:val="24"/>
          <w:szCs w:val="24"/>
        </w:rPr>
        <w:t>Javaslat a Budapest, II. kerület Kapás utca 46. I. emelet 3. szám alatti lakásra vonatkozó elővásárlási jogról</w:t>
      </w:r>
    </w:p>
    <w:p w:rsidR="00AB5AAA" w:rsidRPr="00E66C6F" w:rsidRDefault="00AB5AAA" w:rsidP="00B84C4A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E66C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66C6F">
        <w:rPr>
          <w:rFonts w:ascii="Times New Roman" w:hAnsi="Times New Roman" w:cs="Times New Roman"/>
          <w:sz w:val="24"/>
          <w:szCs w:val="24"/>
        </w:rPr>
        <w:t>dr. Láng Orsolya, a Vagyonhasznosítási és Ingatlan-nyilvántartási Osztály osztályvezetője</w:t>
      </w:r>
    </w:p>
    <w:p w:rsidR="001737A3" w:rsidRPr="00E66C6F" w:rsidRDefault="001737A3" w:rsidP="00B84C4A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737A3" w:rsidRPr="00E66C6F" w:rsidRDefault="001737A3" w:rsidP="00B84C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Kerületi Önkormányzat Gazdasági és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Tulajdonosi Bizottságának </w:t>
      </w:r>
      <w:r w:rsidR="00B845B0"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199/2019.(XI.25.)</w:t>
      </w: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határozata</w:t>
      </w: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71B0" w:rsidRPr="00E66C6F" w:rsidRDefault="003471B0" w:rsidP="00B84C4A">
      <w:pPr>
        <w:pStyle w:val="NormlWeb"/>
        <w:spacing w:before="0" w:beforeAutospacing="0" w:after="0" w:afterAutospacing="0"/>
        <w:jc w:val="both"/>
      </w:pPr>
      <w:r w:rsidRPr="00E66C6F">
        <w:t xml:space="preserve">A Bizottság úgy dönt, javasolja a Képviselő-testületnek, hogy a Budapest Főváros II. Kerületi Önkormányzat </w:t>
      </w:r>
      <w:r w:rsidRPr="00E66C6F">
        <w:rPr>
          <w:b/>
        </w:rPr>
        <w:t>ne éljen</w:t>
      </w:r>
      <w:r w:rsidRPr="00E66C6F">
        <w:t xml:space="preserve"> a Budapest, II. kerület Kapás utca 46. szám alatti társasház </w:t>
      </w:r>
      <w:r w:rsidRPr="00E66C6F">
        <w:rPr>
          <w:noProof/>
          <w:kern w:val="2"/>
        </w:rPr>
        <w:t xml:space="preserve">1990. november 14. napján kelt - 1997. február 18. napján módosított - Alapító Okirata IV. fejezetének 1. pontja alapján fennálló </w:t>
      </w:r>
      <w:r w:rsidRPr="00E66C6F">
        <w:rPr>
          <w:b/>
          <w:bCs/>
          <w:i/>
          <w:iCs/>
          <w:u w:val="single"/>
        </w:rPr>
        <w:t>elővásárlási jogával</w:t>
      </w:r>
      <w:r w:rsidRPr="00E66C6F">
        <w:rPr>
          <w:bCs/>
          <w:iCs/>
        </w:rPr>
        <w:t xml:space="preserve"> </w:t>
      </w:r>
      <w:r w:rsidRPr="00E66C6F">
        <w:t xml:space="preserve">a </w:t>
      </w:r>
      <w:r w:rsidRPr="00E66C6F">
        <w:rPr>
          <w:b/>
        </w:rPr>
        <w:t>Budapest II. kerület, 13655/0/A/5 helyrajzi számon</w:t>
      </w:r>
      <w:r w:rsidRPr="00E66C6F">
        <w:t xml:space="preserve"> nyilvántartásba vett, természetben a </w:t>
      </w:r>
      <w:r w:rsidRPr="00E66C6F">
        <w:rPr>
          <w:b/>
        </w:rPr>
        <w:t xml:space="preserve">1027 Budapest, Kapás utca 46. I. emelet 3. </w:t>
      </w:r>
      <w:r w:rsidRPr="00E66C6F">
        <w:t>szám</w:t>
      </w:r>
      <w:r w:rsidRPr="00E66C6F">
        <w:rPr>
          <w:b/>
        </w:rPr>
        <w:t xml:space="preserve"> </w:t>
      </w:r>
      <w:r w:rsidRPr="00E66C6F">
        <w:t>alatt található, 58 m</w:t>
      </w:r>
      <w:r w:rsidRPr="00E66C6F">
        <w:rPr>
          <w:vertAlign w:val="superscript"/>
        </w:rPr>
        <w:t>2</w:t>
      </w:r>
      <w:r w:rsidRPr="00E66C6F">
        <w:t xml:space="preserve"> alapterületű, 1+1 szobás, lakás megnevezésű ingatlanra, valamint a közös tulajdonból hozzátartozó 91/1000 eszmei tulajdoni hányadra, továbbá a társasházi Alapító Okiratban meghatározott mellékhelyiségekre vonatkozóan, </w:t>
      </w:r>
      <w:r w:rsidRPr="00E66C6F">
        <w:rPr>
          <w:lang w:eastAsia="ar-SA"/>
        </w:rPr>
        <w:t>Mater Csilla eladó1 és Losonci Pál eladó2, valamint Petricsek Ildikó vevő1 és Petricsek Ádám vevő2 között 2019. november 5. napján létrejött adásvételi szerződés</w:t>
      </w:r>
      <w:r w:rsidRPr="00E66C6F">
        <w:t>ben foglaltak szerint, az abban meghatározott feltételek mellett, 56.000.000,- Ft összegű vételáron.</w:t>
      </w:r>
    </w:p>
    <w:p w:rsidR="003471B0" w:rsidRPr="00E66C6F" w:rsidRDefault="003471B0" w:rsidP="00B84C4A">
      <w:pPr>
        <w:spacing w:after="0" w:line="240" w:lineRule="auto"/>
        <w:rPr>
          <w:szCs w:val="24"/>
        </w:rPr>
      </w:pPr>
    </w:p>
    <w:p w:rsidR="003471B0" w:rsidRPr="00E66C6F" w:rsidRDefault="003471B0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Láng Orsolyát, a Vagyonhasznosítási és Ingatlan-nyilvántartási Osztály vezetőjét, hogy </w:t>
      </w:r>
      <w:r w:rsidRPr="00E66C6F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3471B0" w:rsidRPr="00E66C6F" w:rsidRDefault="003471B0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1B0" w:rsidRPr="00E66C6F" w:rsidRDefault="003471B0" w:rsidP="00B84C4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Felelős:</w:t>
      </w:r>
      <w:r w:rsidRPr="00E66C6F">
        <w:rPr>
          <w:rFonts w:ascii="Times New Roman" w:hAnsi="Times New Roman" w:cs="Times New Roman"/>
          <w:b/>
          <w:sz w:val="24"/>
          <w:szCs w:val="24"/>
        </w:rPr>
        <w:tab/>
      </w:r>
      <w:r w:rsidRPr="00E66C6F">
        <w:rPr>
          <w:rFonts w:ascii="Times New Roman" w:hAnsi="Times New Roman" w:cs="Times New Roman"/>
          <w:sz w:val="24"/>
          <w:szCs w:val="24"/>
        </w:rPr>
        <w:t>Polgármester</w:t>
      </w:r>
    </w:p>
    <w:p w:rsidR="003471B0" w:rsidRPr="00E66C6F" w:rsidRDefault="003471B0" w:rsidP="00B84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Határidő:</w:t>
      </w:r>
      <w:r w:rsidRPr="00E66C6F">
        <w:rPr>
          <w:rFonts w:ascii="Times New Roman" w:hAnsi="Times New Roman" w:cs="Times New Roman"/>
          <w:b/>
          <w:sz w:val="24"/>
          <w:szCs w:val="24"/>
        </w:rPr>
        <w:tab/>
      </w:r>
      <w:r w:rsidRPr="00E66C6F">
        <w:rPr>
          <w:rFonts w:ascii="Times New Roman" w:hAnsi="Times New Roman" w:cs="Times New Roman"/>
          <w:sz w:val="24"/>
          <w:szCs w:val="24"/>
        </w:rPr>
        <w:t>soron következő képviselő-testületi ülés</w:t>
      </w:r>
    </w:p>
    <w:p w:rsidR="001737A3" w:rsidRPr="00E66C6F" w:rsidRDefault="001737A3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71B0" w:rsidRPr="00E66C6F" w:rsidRDefault="003471B0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1737A3" w:rsidRDefault="001737A3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4386" w:rsidRPr="00E66C6F" w:rsidRDefault="001D4386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Az ü</w:t>
      </w:r>
      <w:r w:rsidR="003471B0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lés befejezésének időpontja: 15 óra 5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5 perc.</w:t>
      </w:r>
    </w:p>
    <w:p w:rsidR="001737A3" w:rsidRPr="00E66C6F" w:rsidRDefault="001737A3" w:rsidP="00B84C4A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jegyzőkönyv gépelve 2019. </w:t>
      </w:r>
      <w:r w:rsidR="003471B0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november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3471B0"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napján.</w:t>
      </w:r>
    </w:p>
    <w:p w:rsidR="001737A3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C4A" w:rsidRPr="00E66C6F" w:rsidRDefault="00B84C4A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  <w:t>……………………………….</w:t>
      </w:r>
    </w:p>
    <w:p w:rsidR="001737A3" w:rsidRPr="00E66C6F" w:rsidRDefault="001737A3" w:rsidP="00B84C4A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1D43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dr. </w:t>
      </w:r>
      <w:r w:rsidR="003471B0"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 Zsolt</w:t>
      </w:r>
    </w:p>
    <w:p w:rsidR="001737A3" w:rsidRPr="00E66C6F" w:rsidRDefault="001737A3" w:rsidP="00B84C4A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1737A3" w:rsidRDefault="001737A3" w:rsidP="00B84C4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C4A" w:rsidRPr="00E66C6F" w:rsidRDefault="00B84C4A" w:rsidP="00B84C4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</w:t>
      </w:r>
    </w:p>
    <w:p w:rsidR="001737A3" w:rsidRPr="00E66C6F" w:rsidRDefault="001737A3" w:rsidP="00B84C4A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3471B0" w:rsidRPr="00E66C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Besenyei Zsófia</w:t>
      </w:r>
    </w:p>
    <w:p w:rsidR="001737A3" w:rsidRDefault="001737A3" w:rsidP="00B84C4A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C4A" w:rsidRDefault="00B84C4A" w:rsidP="00B84C4A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4C4A" w:rsidRPr="00E66C6F" w:rsidRDefault="00B84C4A" w:rsidP="00B84C4A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37A3" w:rsidRPr="00E66C6F" w:rsidRDefault="001737A3" w:rsidP="00B84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66C6F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1737A3" w:rsidRPr="00E66C6F" w:rsidRDefault="001737A3" w:rsidP="00B84C4A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1737A3" w:rsidRPr="00E66C6F" w:rsidRDefault="001737A3" w:rsidP="00B84C4A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6C6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B84C4A" w:rsidRPr="00E66C6F" w:rsidTr="004B6D34">
        <w:trPr>
          <w:trHeight w:val="142"/>
        </w:trPr>
        <w:tc>
          <w:tcPr>
            <w:tcW w:w="3969" w:type="dxa"/>
            <w:shd w:val="clear" w:color="auto" w:fill="auto"/>
          </w:tcPr>
          <w:p w:rsidR="00B84C4A" w:rsidRDefault="00B84C4A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84C4A" w:rsidRDefault="00B84C4A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84C4A" w:rsidRDefault="00B84C4A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3F9D" w:rsidRDefault="00EA3F9D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84C4A" w:rsidRPr="00B84C4A" w:rsidRDefault="00B84C4A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737A3" w:rsidRPr="00B84C4A" w:rsidRDefault="001737A3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E66C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1737A3" w:rsidRPr="00E66C6F" w:rsidRDefault="001737A3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6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1737A3" w:rsidRPr="00E66C6F" w:rsidRDefault="001737A3" w:rsidP="00B84C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6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1737A3" w:rsidRPr="00E66C6F" w:rsidRDefault="001737A3" w:rsidP="00B84C4A">
      <w:pPr>
        <w:spacing w:after="0" w:line="240" w:lineRule="auto"/>
      </w:pPr>
    </w:p>
    <w:sectPr w:rsidR="001737A3" w:rsidRPr="00E66C6F" w:rsidSect="004B6D34">
      <w:footerReference w:type="default" r:id="rId7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8A" w:rsidRDefault="001D4386">
      <w:pPr>
        <w:spacing w:after="0" w:line="240" w:lineRule="auto"/>
      </w:pPr>
      <w:r>
        <w:separator/>
      </w:r>
    </w:p>
  </w:endnote>
  <w:endnote w:type="continuationSeparator" w:id="0">
    <w:p w:rsidR="00CA1D8A" w:rsidRDefault="001D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4B6D34" w:rsidRDefault="004B6D34" w:rsidP="004B6D3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8A" w:rsidRDefault="001D4386">
      <w:pPr>
        <w:spacing w:after="0" w:line="240" w:lineRule="auto"/>
      </w:pPr>
      <w:r>
        <w:separator/>
      </w:r>
    </w:p>
  </w:footnote>
  <w:footnote w:type="continuationSeparator" w:id="0">
    <w:p w:rsidR="00CA1D8A" w:rsidRDefault="001D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0A0394"/>
    <w:lvl w:ilvl="0">
      <w:numFmt w:val="decimal"/>
      <w:lvlText w:val="*"/>
      <w:lvlJc w:val="left"/>
    </w:lvl>
  </w:abstractNum>
  <w:abstractNum w:abstractNumId="1">
    <w:nsid w:val="012D3A82"/>
    <w:multiLevelType w:val="hybridMultilevel"/>
    <w:tmpl w:val="77A68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C7C9A"/>
    <w:multiLevelType w:val="hybridMultilevel"/>
    <w:tmpl w:val="08002C54"/>
    <w:lvl w:ilvl="0" w:tplc="7658A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46EB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8E579D7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F40D7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5322D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130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C101452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3CD0"/>
    <w:multiLevelType w:val="hybridMultilevel"/>
    <w:tmpl w:val="7390D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C5D90"/>
    <w:multiLevelType w:val="hybridMultilevel"/>
    <w:tmpl w:val="5900D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16">
    <w:nsid w:val="4D4462AC"/>
    <w:multiLevelType w:val="hybridMultilevel"/>
    <w:tmpl w:val="160C24F2"/>
    <w:lvl w:ilvl="0" w:tplc="CA64ED2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16BC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2475F"/>
    <w:multiLevelType w:val="hybridMultilevel"/>
    <w:tmpl w:val="A5CC2454"/>
    <w:lvl w:ilvl="0" w:tplc="BC4EB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271A5"/>
    <w:multiLevelType w:val="hybridMultilevel"/>
    <w:tmpl w:val="91F4D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11840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7D3A"/>
    <w:multiLevelType w:val="hybridMultilevel"/>
    <w:tmpl w:val="09E62ADA"/>
    <w:lvl w:ilvl="0" w:tplc="51A6C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3"/>
  </w:num>
  <w:num w:numId="5">
    <w:abstractNumId w:val="15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20"/>
  </w:num>
  <w:num w:numId="12">
    <w:abstractNumId w:val="21"/>
  </w:num>
  <w:num w:numId="13">
    <w:abstractNumId w:val="19"/>
  </w:num>
  <w:num w:numId="14">
    <w:abstractNumId w:val="14"/>
  </w:num>
  <w:num w:numId="15">
    <w:abstractNumId w:val="17"/>
  </w:num>
  <w:num w:numId="16">
    <w:abstractNumId w:val="1"/>
  </w:num>
  <w:num w:numId="17">
    <w:abstractNumId w:val="13"/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0">
    <w:abstractNumId w:val="1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amt3JV7wvghkhjcT4dwbp2yn7/BRRmyJc5hAFEaf95N4jErsXpKRkEOxEYEA03OQDYsvykEbMjTFoT4BcZJbw==" w:salt="EkQNqf/HkP3uu29nvvEd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3"/>
    <w:rsid w:val="000A0981"/>
    <w:rsid w:val="000C1BFB"/>
    <w:rsid w:val="000C1EC6"/>
    <w:rsid w:val="00156D0B"/>
    <w:rsid w:val="001737A3"/>
    <w:rsid w:val="001D4386"/>
    <w:rsid w:val="001E6E3D"/>
    <w:rsid w:val="003105B1"/>
    <w:rsid w:val="003471B0"/>
    <w:rsid w:val="003D70BA"/>
    <w:rsid w:val="004B6D34"/>
    <w:rsid w:val="004D188D"/>
    <w:rsid w:val="0055503F"/>
    <w:rsid w:val="005D535F"/>
    <w:rsid w:val="00616F15"/>
    <w:rsid w:val="00683DD1"/>
    <w:rsid w:val="007570D3"/>
    <w:rsid w:val="007B4222"/>
    <w:rsid w:val="00850009"/>
    <w:rsid w:val="00976661"/>
    <w:rsid w:val="00983FFE"/>
    <w:rsid w:val="009D5ACC"/>
    <w:rsid w:val="00A70467"/>
    <w:rsid w:val="00AA3066"/>
    <w:rsid w:val="00AB5AAA"/>
    <w:rsid w:val="00B20EED"/>
    <w:rsid w:val="00B3083A"/>
    <w:rsid w:val="00B845B0"/>
    <w:rsid w:val="00B84C4A"/>
    <w:rsid w:val="00BB0B58"/>
    <w:rsid w:val="00C3312B"/>
    <w:rsid w:val="00C850D8"/>
    <w:rsid w:val="00CA1D8A"/>
    <w:rsid w:val="00D11DD2"/>
    <w:rsid w:val="00E24C5D"/>
    <w:rsid w:val="00E66C6F"/>
    <w:rsid w:val="00E96B90"/>
    <w:rsid w:val="00EA3F9D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4D39-0251-40AD-87DC-1337E9F4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7A3"/>
  </w:style>
  <w:style w:type="paragraph" w:styleId="Cmsor5">
    <w:name w:val="heading 5"/>
    <w:basedOn w:val="Norml"/>
    <w:next w:val="Norml"/>
    <w:link w:val="Cmsor5Char"/>
    <w:unhideWhenUsed/>
    <w:qFormat/>
    <w:rsid w:val="001E6E3D"/>
    <w:pPr>
      <w:keepLines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73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1737A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737A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173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nhideWhenUsed/>
    <w:rsid w:val="001737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173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7A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7A3"/>
  </w:style>
  <w:style w:type="paragraph" w:styleId="Lbjegyzetszveg">
    <w:name w:val="footnote text"/>
    <w:basedOn w:val="Norml"/>
    <w:link w:val="LbjegyzetszvegChar"/>
    <w:rsid w:val="001737A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rsid w:val="001737A3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Szvegblokk1">
    <w:name w:val="Szövegblokk1"/>
    <w:basedOn w:val="Norml"/>
    <w:rsid w:val="003105B1"/>
    <w:pPr>
      <w:suppressAutoHyphens/>
      <w:spacing w:after="0" w:line="240" w:lineRule="auto"/>
      <w:ind w:left="-284" w:right="283"/>
      <w:jc w:val="both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customStyle="1" w:styleId="Szvegtrzs21">
    <w:name w:val="Szövegtörzs 21"/>
    <w:basedOn w:val="Norml"/>
    <w:rsid w:val="003105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20E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20EED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B20E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20EE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nhideWhenUsed/>
    <w:rsid w:val="00B2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6E3D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3173</Words>
  <Characters>21899</Characters>
  <Application>Microsoft Office Word</Application>
  <DocSecurity>8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8</cp:revision>
  <dcterms:created xsi:type="dcterms:W3CDTF">2019-11-26T10:13:00Z</dcterms:created>
  <dcterms:modified xsi:type="dcterms:W3CDTF">2020-01-21T15:32:00Z</dcterms:modified>
</cp:coreProperties>
</file>