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F4" w:rsidRPr="002D7A14" w:rsidRDefault="00E401F4" w:rsidP="00E401F4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E401F4" w:rsidRPr="002D7A14" w:rsidRDefault="00E401F4" w:rsidP="00E401F4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1"/>
        <w:gridCol w:w="4453"/>
      </w:tblGrid>
      <w:tr w:rsidR="00E401F4" w:rsidRPr="002D7A14" w:rsidTr="00313B96">
        <w:tc>
          <w:tcPr>
            <w:tcW w:w="9054" w:type="dxa"/>
            <w:gridSpan w:val="2"/>
            <w:shd w:val="clear" w:color="auto" w:fill="auto"/>
          </w:tcPr>
          <w:p w:rsidR="00E401F4" w:rsidRPr="002D7A14" w:rsidRDefault="00E401F4" w:rsidP="00313B9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E401F4" w:rsidRPr="002D7A14" w:rsidRDefault="00E401F4" w:rsidP="00313B9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</w:t>
            </w:r>
            <w:r>
              <w:rPr>
                <w:b/>
                <w:szCs w:val="24"/>
              </w:rPr>
              <w:t>es</w:t>
            </w:r>
            <w:r w:rsidRPr="002D7A14">
              <w:rPr>
                <w:b/>
                <w:szCs w:val="24"/>
              </w:rPr>
              <w:t xml:space="preserve"> ülés</w:t>
            </w:r>
          </w:p>
        </w:tc>
      </w:tr>
      <w:tr w:rsidR="00E401F4" w:rsidRPr="002D7A14" w:rsidTr="00313B96">
        <w:trPr>
          <w:trHeight w:val="611"/>
        </w:trPr>
        <w:tc>
          <w:tcPr>
            <w:tcW w:w="4529" w:type="dxa"/>
            <w:shd w:val="clear" w:color="auto" w:fill="auto"/>
          </w:tcPr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E401F4" w:rsidRPr="002D7A14" w:rsidRDefault="00E401F4" w:rsidP="0017106E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2018.</w:t>
            </w:r>
            <w:r>
              <w:rPr>
                <w:b/>
                <w:szCs w:val="24"/>
              </w:rPr>
              <w:t xml:space="preserve"> november 2</w:t>
            </w:r>
            <w:r w:rsidR="00F12317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. (</w:t>
            </w:r>
            <w:r w:rsidR="00F12317">
              <w:rPr>
                <w:b/>
                <w:szCs w:val="24"/>
              </w:rPr>
              <w:t>hétfő</w:t>
            </w:r>
            <w:r>
              <w:rPr>
                <w:b/>
                <w:szCs w:val="24"/>
              </w:rPr>
              <w:t>) 1</w:t>
            </w:r>
            <w:r w:rsidR="0017106E">
              <w:rPr>
                <w:b/>
                <w:szCs w:val="24"/>
              </w:rPr>
              <w:t>2</w:t>
            </w:r>
            <w:bookmarkStart w:id="0" w:name="_GoBack"/>
            <w:bookmarkEnd w:id="0"/>
            <w:r>
              <w:rPr>
                <w:b/>
                <w:szCs w:val="24"/>
              </w:rPr>
              <w:t>:00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E401F4" w:rsidRPr="002D7A14" w:rsidRDefault="00E401F4" w:rsidP="00313B96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Pr="002D7A14">
              <w:rPr>
                <w:b/>
                <w:bCs/>
                <w:szCs w:val="24"/>
              </w:rPr>
              <w:t>/2018.</w:t>
            </w:r>
          </w:p>
        </w:tc>
      </w:tr>
      <w:tr w:rsidR="00E401F4" w:rsidRPr="002D7A14" w:rsidTr="00313B9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E401F4" w:rsidRPr="002D7A14" w:rsidRDefault="00E401F4" w:rsidP="00313B9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E401F4" w:rsidRPr="00F12317" w:rsidRDefault="00F12317" w:rsidP="00F12317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1024 Bud</w:t>
            </w:r>
            <w:r w:rsidR="00E401F4" w:rsidRPr="00F12317">
              <w:rPr>
                <w:szCs w:val="24"/>
                <w:lang w:val="en-GB"/>
              </w:rPr>
              <w:t xml:space="preserve">apest, </w:t>
            </w:r>
            <w:r w:rsidR="00E401F4" w:rsidRPr="00F12317">
              <w:rPr>
                <w:szCs w:val="24"/>
              </w:rPr>
              <w:t>Mechwart liget</w:t>
            </w:r>
            <w:r w:rsidR="00E401F4" w:rsidRPr="00F12317">
              <w:rPr>
                <w:szCs w:val="24"/>
                <w:lang w:val="en-GB"/>
              </w:rPr>
              <w:t xml:space="preserve"> 1.</w:t>
            </w:r>
          </w:p>
          <w:p w:rsidR="00E401F4" w:rsidRPr="00F12317" w:rsidRDefault="00F12317" w:rsidP="00F1231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I. </w:t>
            </w:r>
            <w:r w:rsidRPr="00F12317">
              <w:rPr>
                <w:b/>
                <w:szCs w:val="24"/>
              </w:rPr>
              <w:t>emelet 118.</w:t>
            </w:r>
          </w:p>
        </w:tc>
      </w:tr>
    </w:tbl>
    <w:p w:rsidR="00E401F4" w:rsidRPr="002D7A1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E401F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Default="00E401F4" w:rsidP="00E401F4">
      <w:pPr>
        <w:pStyle w:val="Listaszerbekezds"/>
        <w:numPr>
          <w:ilvl w:val="0"/>
          <w:numId w:val="1"/>
        </w:numPr>
        <w:ind w:left="567" w:hanging="426"/>
        <w:jc w:val="both"/>
        <w:rPr>
          <w:b/>
          <w:szCs w:val="24"/>
          <w:u w:val="single"/>
        </w:rPr>
      </w:pPr>
      <w:r w:rsidRPr="00AD7739">
        <w:rPr>
          <w:b/>
          <w:szCs w:val="24"/>
          <w:u w:val="single"/>
        </w:rPr>
        <w:t>Városüzemeltetési Igazgatóság, Műszaki Osztály előterjesztése:</w:t>
      </w:r>
    </w:p>
    <w:p w:rsidR="00E401F4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Pr="0049415C" w:rsidRDefault="00E401F4" w:rsidP="00E401F4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12EAE">
        <w:rPr>
          <w:rFonts w:ascii="Times New Roman" w:hAnsi="Times New Roman"/>
          <w:sz w:val="24"/>
          <w:szCs w:val="24"/>
          <w:lang w:val="x-none"/>
        </w:rPr>
        <w:t>Döntés a közút kezelőjének felelősségével kapcsolatos kárigény</w:t>
      </w:r>
      <w:r>
        <w:rPr>
          <w:rFonts w:ascii="Times New Roman" w:hAnsi="Times New Roman"/>
          <w:sz w:val="24"/>
          <w:szCs w:val="24"/>
        </w:rPr>
        <w:t>ek</w:t>
      </w:r>
      <w:r w:rsidRPr="00912EAE">
        <w:rPr>
          <w:rFonts w:ascii="Times New Roman" w:hAnsi="Times New Roman"/>
          <w:sz w:val="24"/>
          <w:szCs w:val="24"/>
        </w:rPr>
        <w:t>ről</w:t>
      </w:r>
    </w:p>
    <w:p w:rsidR="00E401F4" w:rsidRDefault="00E401F4" w:rsidP="00E401F4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</w:rPr>
      </w:pPr>
    </w:p>
    <w:p w:rsidR="00E401F4" w:rsidRPr="00912EAE" w:rsidRDefault="00E401F4" w:rsidP="00E401F4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912EAE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E401F4" w:rsidRDefault="00E401F4" w:rsidP="00E401F4">
      <w:pPr>
        <w:tabs>
          <w:tab w:val="left" w:pos="426"/>
        </w:tabs>
        <w:jc w:val="both"/>
        <w:rPr>
          <w:szCs w:val="24"/>
        </w:rPr>
      </w:pPr>
    </w:p>
    <w:p w:rsidR="00E401F4" w:rsidRDefault="00E401F4" w:rsidP="00E401F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912EAE">
        <w:rPr>
          <w:i/>
          <w:szCs w:val="24"/>
          <w:u w:val="single"/>
        </w:rPr>
        <w:t>Helyiségügyek:</w:t>
      </w:r>
    </w:p>
    <w:p w:rsidR="00E401F4" w:rsidRPr="00710F36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A45923" w:rsidRPr="00A45923" w:rsidRDefault="00A6028E" w:rsidP="00A45923">
      <w:pPr>
        <w:pStyle w:val="Listaszerbekezds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Döntés a Budapest</w:t>
      </w:r>
      <w:r w:rsidR="00C70E21">
        <w:rPr>
          <w:szCs w:val="24"/>
        </w:rPr>
        <w:t xml:space="preserve"> </w:t>
      </w:r>
      <w:r>
        <w:rPr>
          <w:szCs w:val="24"/>
        </w:rPr>
        <w:t xml:space="preserve">II. kerület, </w:t>
      </w:r>
      <w:r w:rsidR="00A45923" w:rsidRPr="00A45923">
        <w:rPr>
          <w:szCs w:val="24"/>
        </w:rPr>
        <w:t>14799/0/A/1 hrsz. alatt felvett teremgarázsban található 37-es parkolóhelyre beérkezett új bérbevételi kérelemről</w:t>
      </w:r>
    </w:p>
    <w:p w:rsidR="00642BEB" w:rsidRPr="00642BEB" w:rsidRDefault="00642BEB" w:rsidP="00642BEB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642BEB">
        <w:rPr>
          <w:szCs w:val="24"/>
        </w:rPr>
        <w:t xml:space="preserve">Döntés a Budapest </w:t>
      </w:r>
      <w:r w:rsidR="00A6028E">
        <w:rPr>
          <w:szCs w:val="24"/>
        </w:rPr>
        <w:t xml:space="preserve">II. kerület, </w:t>
      </w:r>
      <w:r w:rsidRPr="00642BEB">
        <w:rPr>
          <w:szCs w:val="24"/>
        </w:rPr>
        <w:t>14799/0/A/1 hrsz. alatt felvett teremgarázsban található 44-es parkolóhelyre beérkezett új bérbevételi kérelemről</w:t>
      </w:r>
    </w:p>
    <w:p w:rsidR="00A45923" w:rsidRDefault="00A45923" w:rsidP="00A45923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A45923">
        <w:rPr>
          <w:szCs w:val="24"/>
        </w:rPr>
        <w:t>Döntés a Budapest II. kerület</w:t>
      </w:r>
      <w:r w:rsidR="00A6028E">
        <w:rPr>
          <w:szCs w:val="24"/>
        </w:rPr>
        <w:t>,</w:t>
      </w:r>
      <w:r w:rsidRPr="00A45923">
        <w:rPr>
          <w:szCs w:val="24"/>
        </w:rPr>
        <w:t xml:space="preserve"> </w:t>
      </w:r>
      <w:r w:rsidR="00094DB1">
        <w:rPr>
          <w:szCs w:val="24"/>
        </w:rPr>
        <w:t>14823/1 hrsz. alatt</w:t>
      </w:r>
      <w:r w:rsidRPr="00A45923">
        <w:rPr>
          <w:szCs w:val="24"/>
        </w:rPr>
        <w:t xml:space="preserve"> található nem lakás céljára szolgáló helyiség tárgyában beérkezett kérelem ügyében</w:t>
      </w:r>
      <w:r w:rsidR="004C1942">
        <w:rPr>
          <w:szCs w:val="24"/>
        </w:rPr>
        <w:t xml:space="preserve"> </w:t>
      </w:r>
      <w:r w:rsidR="004C1942">
        <w:rPr>
          <w:i/>
          <w:szCs w:val="24"/>
        </w:rPr>
        <w:t>(pótkézbesítés)</w:t>
      </w:r>
    </w:p>
    <w:p w:rsidR="00A45923" w:rsidRPr="00A45923" w:rsidRDefault="00A45923" w:rsidP="00A45923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A45923">
        <w:rPr>
          <w:szCs w:val="24"/>
        </w:rPr>
        <w:t>Budapest Főváros II. Kerületi Önkormányzat tulajdonában álló, nem lakás céljára szolgáló helyiségek bérbeadása</w:t>
      </w:r>
      <w:r>
        <w:rPr>
          <w:szCs w:val="24"/>
        </w:rPr>
        <w:t xml:space="preserve"> </w:t>
      </w:r>
      <w:r>
        <w:rPr>
          <w:i/>
          <w:szCs w:val="24"/>
        </w:rPr>
        <w:t>(helyszíni kiosztás)</w:t>
      </w:r>
    </w:p>
    <w:p w:rsidR="00B06215" w:rsidRPr="00A45923" w:rsidRDefault="00B06215" w:rsidP="00B06215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A45923">
        <w:rPr>
          <w:szCs w:val="24"/>
        </w:rPr>
        <w:t xml:space="preserve">Budapest Főváros II. Kerületi Önkormányzat tulajdonában álló, nem lakás céljára szolgáló helyiségek </w:t>
      </w:r>
      <w:r>
        <w:rPr>
          <w:szCs w:val="24"/>
        </w:rPr>
        <w:t xml:space="preserve">értékesítése </w:t>
      </w:r>
      <w:r>
        <w:rPr>
          <w:i/>
          <w:szCs w:val="24"/>
        </w:rPr>
        <w:t>(helyszíni kiosztás)</w:t>
      </w:r>
    </w:p>
    <w:p w:rsidR="00A45923" w:rsidRPr="00A45923" w:rsidRDefault="00A45923" w:rsidP="00A45923">
      <w:pPr>
        <w:jc w:val="both"/>
        <w:rPr>
          <w:szCs w:val="24"/>
        </w:rPr>
      </w:pPr>
    </w:p>
    <w:p w:rsidR="00E401F4" w:rsidRPr="00912EAE" w:rsidRDefault="00E401F4" w:rsidP="00E401F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912EAE">
        <w:rPr>
          <w:i/>
          <w:szCs w:val="24"/>
          <w:u w:val="single"/>
        </w:rPr>
        <w:t>Vagyonügyek:</w:t>
      </w:r>
    </w:p>
    <w:p w:rsidR="00E401F4" w:rsidRPr="00710F36" w:rsidRDefault="00E401F4" w:rsidP="00E401F4">
      <w:pPr>
        <w:jc w:val="both"/>
        <w:rPr>
          <w:rFonts w:eastAsiaTheme="minorHAnsi"/>
          <w:szCs w:val="24"/>
          <w:lang w:val="x-none" w:eastAsia="ar-SA"/>
        </w:rPr>
      </w:pPr>
    </w:p>
    <w:p w:rsidR="00E401F4" w:rsidRDefault="00E401F4" w:rsidP="00E401F4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E401F4">
        <w:rPr>
          <w:szCs w:val="24"/>
        </w:rPr>
        <w:t>Budapest II. kerület, 54495 hrsz</w:t>
      </w:r>
      <w:r w:rsidR="00881080">
        <w:rPr>
          <w:szCs w:val="24"/>
        </w:rPr>
        <w:t>.</w:t>
      </w:r>
      <w:r w:rsidRPr="00E401F4">
        <w:rPr>
          <w:szCs w:val="24"/>
        </w:rPr>
        <w:t>-ú ingatlan osztatlan közös tulajdonának rendezése</w:t>
      </w:r>
      <w:r w:rsidR="004C1942">
        <w:rPr>
          <w:szCs w:val="24"/>
        </w:rPr>
        <w:t xml:space="preserve"> </w:t>
      </w:r>
      <w:r w:rsidR="004C1942" w:rsidRPr="004C1942">
        <w:rPr>
          <w:i/>
          <w:szCs w:val="24"/>
        </w:rPr>
        <w:t>(pótkézbesítés)</w:t>
      </w:r>
    </w:p>
    <w:p w:rsidR="00FA18CF" w:rsidRPr="00FA18CF" w:rsidRDefault="00FA18CF" w:rsidP="00FA18CF">
      <w:pPr>
        <w:pStyle w:val="Listaszerbekezds"/>
        <w:numPr>
          <w:ilvl w:val="0"/>
          <w:numId w:val="2"/>
        </w:numPr>
        <w:jc w:val="both"/>
        <w:rPr>
          <w:sz w:val="22"/>
        </w:rPr>
      </w:pPr>
      <w:r>
        <w:t>A Budapest</w:t>
      </w:r>
      <w:r w:rsidR="00A6028E">
        <w:t xml:space="preserve"> </w:t>
      </w:r>
      <w:r>
        <w:t>II. kerület, 54134/2 helyrajzi számú ingatlan értékesítése</w:t>
      </w:r>
    </w:p>
    <w:p w:rsidR="00FA18CF" w:rsidRDefault="00FA18CF" w:rsidP="00FA18CF">
      <w:pPr>
        <w:pStyle w:val="Listaszerbekezds"/>
        <w:numPr>
          <w:ilvl w:val="0"/>
          <w:numId w:val="2"/>
        </w:numPr>
        <w:jc w:val="both"/>
      </w:pPr>
      <w:r>
        <w:t>Vételi szándéknyilatkozat elbírálása a Budapest II. kerület, 59460 helyrajzi számú ingatlan önkormányzati tulajdoni hányadára vonatkozóan</w:t>
      </w:r>
    </w:p>
    <w:p w:rsidR="00A45923" w:rsidRPr="00A45923" w:rsidRDefault="00A45923" w:rsidP="00A45923">
      <w:pPr>
        <w:pStyle w:val="Listaszerbekezds"/>
        <w:numPr>
          <w:ilvl w:val="0"/>
          <w:numId w:val="2"/>
        </w:numPr>
        <w:jc w:val="both"/>
        <w:rPr>
          <w:rFonts w:eastAsiaTheme="minorHAnsi"/>
        </w:rPr>
      </w:pPr>
      <w:r>
        <w:t>Döntés a Budapest II. kerület, 11409 helyrajzi számú ingatlan értékesítésére kiírt nyilvános, kétfordulós pályázat első fordulójában beérkezett pályázati anyagokról</w:t>
      </w:r>
    </w:p>
    <w:p w:rsidR="00A45923" w:rsidRPr="00A45923" w:rsidRDefault="00A45923" w:rsidP="00A45923">
      <w:pPr>
        <w:pStyle w:val="Listaszerbekezds"/>
        <w:numPr>
          <w:ilvl w:val="0"/>
          <w:numId w:val="2"/>
        </w:numPr>
        <w:jc w:val="both"/>
        <w:rPr>
          <w:rFonts w:eastAsiaTheme="minorHAnsi"/>
        </w:rPr>
      </w:pPr>
      <w:r>
        <w:t>Döntés a Budapest II. kerület</w:t>
      </w:r>
      <w:r w:rsidR="00A6028E">
        <w:t>,</w:t>
      </w:r>
      <w:r w:rsidR="00881080">
        <w:t xml:space="preserve"> </w:t>
      </w:r>
      <w:r>
        <w:t xml:space="preserve">14807/2 </w:t>
      </w:r>
      <w:r w:rsidR="00A6028E">
        <w:t xml:space="preserve">hrsz., </w:t>
      </w:r>
      <w:r>
        <w:t xml:space="preserve">a Budapest II. kerület, </w:t>
      </w:r>
      <w:r w:rsidR="00C70E21">
        <w:t>14806/1</w:t>
      </w:r>
      <w:r>
        <w:t xml:space="preserve"> </w:t>
      </w:r>
      <w:r w:rsidR="00A6028E">
        <w:t xml:space="preserve">hrsz. </w:t>
      </w:r>
      <w:r>
        <w:t xml:space="preserve">és a Budapest II. kerület, 14805/3 </w:t>
      </w:r>
      <w:r w:rsidR="00A6028E">
        <w:t xml:space="preserve">hrsz. </w:t>
      </w:r>
      <w:r>
        <w:t>alatti ingatlanok együttes</w:t>
      </w:r>
      <w:r w:rsidRPr="00A45923">
        <w:t xml:space="preserve"> </w:t>
      </w:r>
      <w:r>
        <w:t>értékesítésére kiírt nyilvános, kétfordulós pályázat első fordulójában beérkezett pályázati anyagokról</w:t>
      </w:r>
    </w:p>
    <w:p w:rsidR="00E401F4" w:rsidRPr="00E401F4" w:rsidRDefault="00A6028E" w:rsidP="009F5518">
      <w:pPr>
        <w:pStyle w:val="Listaszerbekezds"/>
        <w:numPr>
          <w:ilvl w:val="0"/>
          <w:numId w:val="2"/>
        </w:numPr>
        <w:jc w:val="both"/>
        <w:rPr>
          <w:szCs w:val="24"/>
        </w:rPr>
      </w:pPr>
      <w:r>
        <w:t xml:space="preserve">A </w:t>
      </w:r>
      <w:r w:rsidR="00E401F4">
        <w:t>Budapest</w:t>
      </w:r>
      <w:r>
        <w:t xml:space="preserve"> II. kerület</w:t>
      </w:r>
      <w:r w:rsidR="00E401F4">
        <w:t xml:space="preserve">, </w:t>
      </w:r>
      <w:r w:rsidR="00816E2C">
        <w:t>13705 hrsz.-ú és 13704/1 hrsz.-ú</w:t>
      </w:r>
      <w:r w:rsidR="00E401F4">
        <w:t xml:space="preserve"> ingatlanok együttes értékesítésére</w:t>
      </w:r>
      <w:r w:rsidR="00E401F4" w:rsidRPr="00E401F4">
        <w:rPr>
          <w:szCs w:val="24"/>
        </w:rPr>
        <w:t xml:space="preserve"> nyilvános, kétfordulós pályázat</w:t>
      </w:r>
      <w:r w:rsidR="00E401F4">
        <w:rPr>
          <w:szCs w:val="24"/>
        </w:rPr>
        <w:t xml:space="preserve"> kiírása</w:t>
      </w:r>
    </w:p>
    <w:p w:rsidR="00E401F4" w:rsidRPr="00710F36" w:rsidRDefault="00E401F4" w:rsidP="00E401F4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AD1A2C">
        <w:rPr>
          <w:szCs w:val="24"/>
        </w:rPr>
        <w:lastRenderedPageBreak/>
        <w:t>Beszámoló a Gazdasági és Tulajdonosi Bizottság lejárt határidejű határozatainak</w:t>
      </w:r>
      <w:r w:rsidRPr="00710F36">
        <w:rPr>
          <w:szCs w:val="24"/>
        </w:rPr>
        <w:t xml:space="preserve"> végrehajtásáról</w:t>
      </w:r>
    </w:p>
    <w:p w:rsidR="00E401F4" w:rsidRPr="00087D3F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Default="00E401F4" w:rsidP="00E401F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t>Lakásügy:</w:t>
      </w:r>
    </w:p>
    <w:p w:rsidR="00DB3C28" w:rsidRPr="00DB3C28" w:rsidRDefault="00DB3C28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BA0851" w:rsidRDefault="00DB3C28" w:rsidP="00BA0851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>
        <w:rPr>
          <w:szCs w:val="24"/>
        </w:rPr>
        <w:t>Budapest II. kerület</w:t>
      </w:r>
      <w:r w:rsidR="005D66B6">
        <w:rPr>
          <w:szCs w:val="24"/>
        </w:rPr>
        <w:t>,</w:t>
      </w:r>
      <w:r>
        <w:rPr>
          <w:szCs w:val="24"/>
        </w:rPr>
        <w:t xml:space="preserve"> </w:t>
      </w:r>
      <w:r w:rsidR="005D66B6">
        <w:rPr>
          <w:szCs w:val="24"/>
        </w:rPr>
        <w:t>53094/0/A/4 hrsz.-ú</w:t>
      </w:r>
      <w:r>
        <w:rPr>
          <w:szCs w:val="24"/>
        </w:rPr>
        <w:t xml:space="preserve"> lakásra vonatkozó vételi kérelem</w:t>
      </w:r>
    </w:p>
    <w:p w:rsidR="00E401F4" w:rsidRPr="00BA0851" w:rsidRDefault="00DB3C28" w:rsidP="00BA0851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BA0851">
        <w:rPr>
          <w:szCs w:val="24"/>
        </w:rPr>
        <w:t>Döntés a Budapest II. kerület</w:t>
      </w:r>
      <w:r w:rsidR="005D66B6">
        <w:rPr>
          <w:szCs w:val="24"/>
        </w:rPr>
        <w:t>,</w:t>
      </w:r>
      <w:r w:rsidRPr="00BA0851">
        <w:rPr>
          <w:szCs w:val="24"/>
        </w:rPr>
        <w:t xml:space="preserve"> </w:t>
      </w:r>
      <w:r w:rsidR="005D66B6">
        <w:rPr>
          <w:szCs w:val="24"/>
        </w:rPr>
        <w:t>11398/1/A/7 hrsz.-ú</w:t>
      </w:r>
      <w:r w:rsidRPr="00BA0851">
        <w:rPr>
          <w:szCs w:val="24"/>
        </w:rPr>
        <w:t xml:space="preserve"> lakásra vonatkozó visszavásárlási jog, valamint az elidegenítési és terhelési tilalom törlésére vonatkozóan</w:t>
      </w:r>
    </w:p>
    <w:p w:rsidR="00E401F4" w:rsidRDefault="00E401F4" w:rsidP="00E401F4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E401F4">
        <w:rPr>
          <w:szCs w:val="24"/>
        </w:rPr>
        <w:t>Kérelem a 14863/2/A/1 hrsz. alatt nyilvántartott lakás bérbe adására</w:t>
      </w:r>
      <w:r w:rsidR="00881080">
        <w:rPr>
          <w:szCs w:val="24"/>
        </w:rPr>
        <w:tab/>
      </w:r>
      <w:r>
        <w:rPr>
          <w:b/>
          <w:szCs w:val="24"/>
        </w:rPr>
        <w:t>Zárt ülés!</w:t>
      </w:r>
    </w:p>
    <w:p w:rsidR="004A169B" w:rsidRPr="004A169B" w:rsidRDefault="004A169B" w:rsidP="004A169B">
      <w:pPr>
        <w:pStyle w:val="Listaszerbekezds"/>
        <w:numPr>
          <w:ilvl w:val="0"/>
          <w:numId w:val="2"/>
        </w:numPr>
        <w:jc w:val="both"/>
        <w:rPr>
          <w:sz w:val="22"/>
          <w:lang w:eastAsia="ar-SA"/>
        </w:rPr>
      </w:pPr>
      <w:r>
        <w:t xml:space="preserve">Döntés </w:t>
      </w:r>
      <w:r>
        <w:rPr>
          <w:lang w:eastAsia="ar-SA"/>
        </w:rPr>
        <w:t xml:space="preserve">a Budapest II. kerület, </w:t>
      </w:r>
      <w:r w:rsidR="005D66B6">
        <w:rPr>
          <w:lang w:eastAsia="ar-SA"/>
        </w:rPr>
        <w:t>11441/4/A/3 hrsz.-ú</w:t>
      </w:r>
      <w:r>
        <w:rPr>
          <w:lang w:eastAsia="ar-SA"/>
        </w:rPr>
        <w:t xml:space="preserve"> ingatlan tekintetében fennálló vételár-hátralékból felhalmozott tartozás és járulékai behajtása iránti fizetési meghagyásos eljárás megindításáról</w:t>
      </w:r>
      <w:r>
        <w:rPr>
          <w:lang w:eastAsia="ar-SA"/>
        </w:rPr>
        <w:tab/>
      </w:r>
      <w:r w:rsidR="005D66B6">
        <w:rPr>
          <w:lang w:eastAsia="ar-SA"/>
        </w:rPr>
        <w:tab/>
      </w:r>
      <w:r w:rsidR="005D66B6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b/>
          <w:lang w:eastAsia="ar-SA"/>
        </w:rPr>
        <w:t>Zárt ülés!</w:t>
      </w:r>
    </w:p>
    <w:p w:rsidR="00E401F4" w:rsidRPr="004F4D34" w:rsidRDefault="004F4D34" w:rsidP="005D66B6">
      <w:pPr>
        <w:pStyle w:val="Listaszerbekezds"/>
        <w:numPr>
          <w:ilvl w:val="0"/>
          <w:numId w:val="2"/>
        </w:numPr>
        <w:jc w:val="both"/>
      </w:pPr>
      <w:r w:rsidRPr="004F4D34">
        <w:t>Budapest II. kerület</w:t>
      </w:r>
      <w:r w:rsidR="007A1BA6">
        <w:t>,</w:t>
      </w:r>
      <w:r w:rsidRPr="004F4D34">
        <w:t xml:space="preserve"> </w:t>
      </w:r>
      <w:r w:rsidR="007A1BA6">
        <w:t>13491/0/A/2 hrsz.-ú</w:t>
      </w:r>
      <w:r w:rsidRPr="004F4D34">
        <w:t xml:space="preserve"> lakásra vonatkozóan fennálló használati díj tartozás részletekben történő megfizetése iránti kérelem</w:t>
      </w:r>
      <w:r w:rsidR="005D66B6">
        <w:tab/>
      </w:r>
      <w:r w:rsidR="005D66B6">
        <w:tab/>
      </w:r>
      <w:r w:rsidR="005D66B6">
        <w:tab/>
      </w:r>
      <w:r w:rsidRPr="005D66B6">
        <w:rPr>
          <w:b/>
        </w:rPr>
        <w:t>Zárt ülés!</w:t>
      </w:r>
    </w:p>
    <w:p w:rsidR="00FA18CF" w:rsidRPr="005D66B6" w:rsidRDefault="00FA18CF" w:rsidP="005D66B6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FA18CF">
        <w:rPr>
          <w:szCs w:val="24"/>
        </w:rPr>
        <w:t>Kérelem a Budapest II. kerület</w:t>
      </w:r>
      <w:r w:rsidR="007A1BA6">
        <w:rPr>
          <w:szCs w:val="24"/>
        </w:rPr>
        <w:t>,</w:t>
      </w:r>
      <w:r w:rsidRPr="00FA18CF">
        <w:rPr>
          <w:szCs w:val="24"/>
        </w:rPr>
        <w:t xml:space="preserve"> </w:t>
      </w:r>
      <w:r w:rsidR="0061347C">
        <w:rPr>
          <w:szCs w:val="24"/>
        </w:rPr>
        <w:t>12867/0/A/6 hrsz.-ú</w:t>
      </w:r>
      <w:r w:rsidRPr="00FA18CF">
        <w:rPr>
          <w:szCs w:val="24"/>
        </w:rPr>
        <w:t xml:space="preserve"> lakás bérbe adására</w:t>
      </w:r>
      <w:r w:rsidR="00A6028E">
        <w:rPr>
          <w:szCs w:val="24"/>
        </w:rPr>
        <w:tab/>
      </w:r>
      <w:r w:rsidRPr="005D66B6">
        <w:rPr>
          <w:b/>
          <w:szCs w:val="24"/>
        </w:rPr>
        <w:t>Zárt ülés!</w:t>
      </w:r>
    </w:p>
    <w:p w:rsidR="00FA18CF" w:rsidRPr="00B06215" w:rsidRDefault="00B06215" w:rsidP="00B06215">
      <w:pPr>
        <w:pStyle w:val="Listaszerbekezds"/>
        <w:numPr>
          <w:ilvl w:val="0"/>
          <w:numId w:val="2"/>
        </w:numPr>
        <w:ind w:right="-1"/>
        <w:jc w:val="both"/>
        <w:rPr>
          <w:szCs w:val="24"/>
          <w:lang w:eastAsia="ar-SA"/>
        </w:rPr>
      </w:pPr>
      <w:r w:rsidRPr="00B06215">
        <w:rPr>
          <w:szCs w:val="24"/>
          <w:lang w:eastAsia="ar-SA"/>
        </w:rPr>
        <w:t>A 13674/0/A/32 hrsz. alatt nyilvántartott lakás jogcím nélküli használója ellen a lakás kiürítése, valamint díjhátralék és járulékai behajtása iránt peres eljárás indítása</w:t>
      </w:r>
      <w:r w:rsidR="00FA18CF" w:rsidRPr="00B06215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9B3FFF">
        <w:rPr>
          <w:szCs w:val="24"/>
        </w:rPr>
        <w:tab/>
      </w:r>
      <w:r w:rsidR="00FA18CF" w:rsidRPr="00B06215">
        <w:rPr>
          <w:b/>
          <w:szCs w:val="24"/>
        </w:rPr>
        <w:t>Zárt ülés!</w:t>
      </w:r>
    </w:p>
    <w:p w:rsidR="00E401F4" w:rsidRDefault="00E401F4" w:rsidP="00E401F4">
      <w:pPr>
        <w:jc w:val="both"/>
        <w:rPr>
          <w:szCs w:val="24"/>
        </w:rPr>
      </w:pPr>
    </w:p>
    <w:p w:rsidR="00E401F4" w:rsidRPr="00E401F4" w:rsidRDefault="00E401F4" w:rsidP="00E401F4">
      <w:pPr>
        <w:jc w:val="both"/>
        <w:rPr>
          <w:szCs w:val="24"/>
        </w:rPr>
      </w:pPr>
    </w:p>
    <w:p w:rsidR="00E401F4" w:rsidRDefault="00E401F4" w:rsidP="00E401F4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Budapest, 2018. </w:t>
      </w:r>
      <w:r w:rsidR="00F4450C">
        <w:rPr>
          <w:szCs w:val="24"/>
          <w:lang w:eastAsia="ar-SA"/>
        </w:rPr>
        <w:t>november 21.</w:t>
      </w:r>
    </w:p>
    <w:p w:rsidR="00E401F4" w:rsidRDefault="00E401F4" w:rsidP="00E401F4">
      <w:pPr>
        <w:jc w:val="both"/>
        <w:rPr>
          <w:szCs w:val="24"/>
          <w:lang w:eastAsia="ar-SA"/>
        </w:rPr>
      </w:pPr>
    </w:p>
    <w:p w:rsidR="00E401F4" w:rsidRDefault="00E401F4" w:rsidP="00E401F4">
      <w:pPr>
        <w:jc w:val="both"/>
        <w:rPr>
          <w:szCs w:val="24"/>
          <w:lang w:eastAsia="ar-SA"/>
        </w:rPr>
      </w:pPr>
    </w:p>
    <w:p w:rsidR="00E401F4" w:rsidRPr="002D7A14" w:rsidRDefault="00E401F4" w:rsidP="00E401F4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E401F4" w:rsidRPr="002D7A14" w:rsidRDefault="00E401F4" w:rsidP="00E401F4">
      <w:pPr>
        <w:ind w:left="6379" w:firstLine="142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Elnök</w:t>
      </w:r>
    </w:p>
    <w:sectPr w:rsidR="00E401F4" w:rsidRPr="002D7A14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B7" w:rsidRDefault="007A28B7">
      <w:r>
        <w:separator/>
      </w:r>
    </w:p>
  </w:endnote>
  <w:endnote w:type="continuationSeparator" w:id="0">
    <w:p w:rsidR="007A28B7" w:rsidRDefault="007A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E401F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7106E">
      <w:rPr>
        <w:noProof/>
      </w:rPr>
      <w:t>2</w:t>
    </w:r>
    <w:r>
      <w:fldChar w:fldCharType="end"/>
    </w:r>
  </w:p>
  <w:p w:rsidR="000C24E7" w:rsidRDefault="007A28B7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B7" w:rsidRDefault="007A28B7">
      <w:r>
        <w:separator/>
      </w:r>
    </w:p>
  </w:footnote>
  <w:footnote w:type="continuationSeparator" w:id="0">
    <w:p w:rsidR="007A28B7" w:rsidRDefault="007A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E401F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04814691" r:id="rId2"/>
            </w:object>
          </w:r>
        </w:p>
      </w:tc>
      <w:tc>
        <w:tcPr>
          <w:tcW w:w="4500" w:type="dxa"/>
        </w:tcPr>
        <w:p w:rsidR="003F31BC" w:rsidRDefault="007A28B7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E401F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7A28B7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E401F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7A28B7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7A28B7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7A28B7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7A28B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BEB408A"/>
    <w:multiLevelType w:val="hybridMultilevel"/>
    <w:tmpl w:val="E74CEF64"/>
    <w:lvl w:ilvl="0" w:tplc="E3BA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4AE3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404E"/>
    <w:multiLevelType w:val="hybridMultilevel"/>
    <w:tmpl w:val="E76E1C36"/>
    <w:lvl w:ilvl="0" w:tplc="073AB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47A9"/>
    <w:multiLevelType w:val="hybridMultilevel"/>
    <w:tmpl w:val="34C6FC4C"/>
    <w:lvl w:ilvl="0" w:tplc="66EE38E6">
      <w:start w:val="1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0FC4"/>
    <w:multiLevelType w:val="hybridMultilevel"/>
    <w:tmpl w:val="598E13CA"/>
    <w:lvl w:ilvl="0" w:tplc="CF28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87394"/>
    <w:multiLevelType w:val="hybridMultilevel"/>
    <w:tmpl w:val="C656506C"/>
    <w:lvl w:ilvl="0" w:tplc="CE0E7DE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2457F"/>
    <w:multiLevelType w:val="hybridMultilevel"/>
    <w:tmpl w:val="657E0C8C"/>
    <w:lvl w:ilvl="0" w:tplc="48DA3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E3422"/>
    <w:multiLevelType w:val="hybridMultilevel"/>
    <w:tmpl w:val="7254901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F4"/>
    <w:rsid w:val="00094DB1"/>
    <w:rsid w:val="0017106E"/>
    <w:rsid w:val="003C0933"/>
    <w:rsid w:val="004A169B"/>
    <w:rsid w:val="004C1942"/>
    <w:rsid w:val="004F4D34"/>
    <w:rsid w:val="005601A7"/>
    <w:rsid w:val="005A77F9"/>
    <w:rsid w:val="005D197E"/>
    <w:rsid w:val="005D66B6"/>
    <w:rsid w:val="0061347C"/>
    <w:rsid w:val="00642BEB"/>
    <w:rsid w:val="00744176"/>
    <w:rsid w:val="007A1BA6"/>
    <w:rsid w:val="007A28B7"/>
    <w:rsid w:val="00816E2C"/>
    <w:rsid w:val="00881080"/>
    <w:rsid w:val="009474C9"/>
    <w:rsid w:val="009B3FFF"/>
    <w:rsid w:val="00A45923"/>
    <w:rsid w:val="00A6028E"/>
    <w:rsid w:val="00B06215"/>
    <w:rsid w:val="00B65329"/>
    <w:rsid w:val="00BA0851"/>
    <w:rsid w:val="00C70E21"/>
    <w:rsid w:val="00DB3C28"/>
    <w:rsid w:val="00E401F4"/>
    <w:rsid w:val="00EA408E"/>
    <w:rsid w:val="00ED1C32"/>
    <w:rsid w:val="00F12317"/>
    <w:rsid w:val="00F4450C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7C877-7DA4-4FA0-9596-A9275608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E401F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E401F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E4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4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E401F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E401F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E401F4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E401F4"/>
    <w:rPr>
      <w:rFonts w:ascii="FrutigerTT" w:hAnsi="FrutigerTT" w:cs="Times New Roman"/>
      <w:sz w:val="19"/>
      <w:szCs w:val="19"/>
      <w:lang w:eastAsia="ar-SA"/>
    </w:rPr>
  </w:style>
  <w:style w:type="paragraph" w:customStyle="1" w:styleId="CharCharCharCharCharCharChar">
    <w:name w:val="Char Char Char Char Char Char Char"/>
    <w:basedOn w:val="Norml"/>
    <w:rsid w:val="00B062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Verderber Lajos</cp:lastModifiedBy>
  <cp:revision>2</cp:revision>
  <cp:lastPrinted>2018-11-22T10:33:00Z</cp:lastPrinted>
  <dcterms:created xsi:type="dcterms:W3CDTF">2018-11-27T08:05:00Z</dcterms:created>
  <dcterms:modified xsi:type="dcterms:W3CDTF">2018-11-27T08:05:00Z</dcterms:modified>
</cp:coreProperties>
</file>