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D2F5E" w:rsidRDefault="008D2F5E">
      <w:pPr>
        <w:snapToGrid w:val="0"/>
        <w:jc w:val="both"/>
        <w:rPr>
          <w:rFonts w:cs="Tahoma"/>
        </w:rPr>
      </w:pPr>
    </w:p>
    <w:p w:rsidR="008D2F5E" w:rsidRDefault="008D2F5E">
      <w:pPr>
        <w:rPr>
          <w:rFonts w:eastAsia="Times New Roman" w:cs="Tahoma"/>
          <w:sz w:val="20"/>
        </w:rPr>
      </w:pPr>
    </w:p>
    <w:p w:rsidR="008D2F5E" w:rsidRDefault="008D2F5E">
      <w:pPr>
        <w:rPr>
          <w:rFonts w:eastAsia="Times New Roman"/>
          <w:sz w:val="20"/>
        </w:rPr>
      </w:pPr>
    </w:p>
    <w:p w:rsidR="008D2F5E" w:rsidRDefault="008D2F5E">
      <w:pPr>
        <w:jc w:val="right"/>
      </w:pPr>
      <w:r>
        <w:rPr>
          <w:rFonts w:eastAsia="Times New Roman"/>
        </w:rPr>
        <w:t>..</w:t>
      </w:r>
      <w:proofErr w:type="gramStart"/>
      <w:r>
        <w:rPr>
          <w:rFonts w:eastAsia="Times New Roman"/>
        </w:rPr>
        <w:t>...........</w:t>
      </w:r>
      <w:proofErr w:type="gramEnd"/>
      <w:r w:rsidR="004E2184">
        <w:rPr>
          <w:rFonts w:eastAsia="Times New Roman"/>
        </w:rPr>
        <w:t xml:space="preserve"> </w:t>
      </w:r>
      <w:r>
        <w:rPr>
          <w:rFonts w:eastAsia="Times New Roman"/>
        </w:rPr>
        <w:t>(sz.) napirend</w:t>
      </w:r>
    </w:p>
    <w:p w:rsidR="008D2F5E" w:rsidRDefault="008D2F5E">
      <w:pPr>
        <w:jc w:val="right"/>
      </w:pPr>
      <w:bookmarkStart w:id="0" w:name="_Hlk134443536"/>
    </w:p>
    <w:bookmarkEnd w:id="0"/>
    <w:p w:rsidR="008D2F5E" w:rsidRDefault="008D2F5E">
      <w:pPr>
        <w:jc w:val="right"/>
        <w:rPr>
          <w:rFonts w:eastAsia="Times New Roman"/>
          <w:sz w:val="20"/>
        </w:rPr>
      </w:pPr>
    </w:p>
    <w:p w:rsidR="002F0F97" w:rsidRDefault="002F0F97" w:rsidP="002F0F97">
      <w:pPr>
        <w:ind w:left="4956"/>
        <w:jc w:val="both"/>
      </w:pPr>
    </w:p>
    <w:p w:rsidR="002F0F97" w:rsidRDefault="002F0F97" w:rsidP="002F0F97">
      <w:pPr>
        <w:ind w:left="4956"/>
        <w:jc w:val="both"/>
      </w:pPr>
    </w:p>
    <w:p w:rsidR="002F0F97" w:rsidRDefault="002F0F97" w:rsidP="002F0F97">
      <w:pPr>
        <w:ind w:left="4956"/>
        <w:jc w:val="both"/>
      </w:pPr>
    </w:p>
    <w:p w:rsidR="002F0F97" w:rsidRDefault="002F0F97" w:rsidP="002F0F97">
      <w:pPr>
        <w:ind w:left="4956"/>
        <w:jc w:val="both"/>
      </w:pPr>
    </w:p>
    <w:p w:rsidR="002F0F97" w:rsidRDefault="002F0F97" w:rsidP="002F0F97">
      <w:pPr>
        <w:ind w:left="4956"/>
        <w:jc w:val="both"/>
      </w:pPr>
    </w:p>
    <w:p w:rsidR="002F0F97" w:rsidRDefault="002F0F97" w:rsidP="002F0F97">
      <w:pPr>
        <w:ind w:left="4956"/>
        <w:jc w:val="both"/>
      </w:pPr>
    </w:p>
    <w:p w:rsidR="002F0F97" w:rsidRDefault="002F0F97" w:rsidP="002F0F97">
      <w:pPr>
        <w:jc w:val="center"/>
        <w:rPr>
          <w:b/>
        </w:rPr>
      </w:pPr>
    </w:p>
    <w:p w:rsidR="002F0F97" w:rsidRPr="00D14AAE" w:rsidRDefault="002F0F97" w:rsidP="002F0F97">
      <w:pPr>
        <w:jc w:val="center"/>
        <w:rPr>
          <w:b/>
        </w:rPr>
      </w:pPr>
      <w:r w:rsidRPr="00D14AAE">
        <w:rPr>
          <w:b/>
        </w:rPr>
        <w:t>E L Ő T E R J E S Z T É S</w:t>
      </w:r>
    </w:p>
    <w:p w:rsidR="002F0F97" w:rsidRPr="00D14AAE" w:rsidRDefault="002F0F97" w:rsidP="002F0F97">
      <w:pPr>
        <w:jc w:val="center"/>
        <w:rPr>
          <w:b/>
        </w:rPr>
      </w:pPr>
    </w:p>
    <w:p w:rsidR="002F0F97" w:rsidRPr="00D14AAE" w:rsidRDefault="002F0F97" w:rsidP="002F0F97">
      <w:pPr>
        <w:jc w:val="center"/>
        <w:rPr>
          <w:b/>
        </w:rPr>
      </w:pPr>
      <w:proofErr w:type="gramStart"/>
      <w:r w:rsidRPr="00D14AAE">
        <w:rPr>
          <w:b/>
        </w:rPr>
        <w:t>a</w:t>
      </w:r>
      <w:proofErr w:type="gramEnd"/>
      <w:r w:rsidRPr="00D14AAE">
        <w:rPr>
          <w:b/>
        </w:rPr>
        <w:t xml:space="preserve"> Kép</w:t>
      </w:r>
      <w:r>
        <w:rPr>
          <w:b/>
        </w:rPr>
        <w:t xml:space="preserve">viselő-testület 2023. </w:t>
      </w:r>
      <w:r w:rsidR="00E52118">
        <w:rPr>
          <w:b/>
        </w:rPr>
        <w:t>október</w:t>
      </w:r>
      <w:r>
        <w:rPr>
          <w:b/>
        </w:rPr>
        <w:t xml:space="preserve"> </w:t>
      </w:r>
      <w:r w:rsidR="00CC197F">
        <w:rPr>
          <w:b/>
        </w:rPr>
        <w:t>26</w:t>
      </w:r>
      <w:r>
        <w:rPr>
          <w:b/>
        </w:rPr>
        <w:t>-</w:t>
      </w:r>
      <w:r w:rsidRPr="00D14AAE">
        <w:rPr>
          <w:b/>
        </w:rPr>
        <w:t>i rend</w:t>
      </w:r>
      <w:r w:rsidR="00CC197F">
        <w:rPr>
          <w:b/>
        </w:rPr>
        <w:t>es</w:t>
      </w:r>
      <w:r w:rsidRPr="00D14AAE">
        <w:rPr>
          <w:b/>
        </w:rPr>
        <w:t xml:space="preserve"> ülésére </w:t>
      </w:r>
    </w:p>
    <w:p w:rsidR="002F0F97" w:rsidRDefault="002F0F97" w:rsidP="002F0F97">
      <w:pPr>
        <w:jc w:val="center"/>
      </w:pPr>
    </w:p>
    <w:p w:rsidR="002F0F97" w:rsidRDefault="002F0F97" w:rsidP="002F0F97">
      <w:pPr>
        <w:jc w:val="center"/>
      </w:pPr>
    </w:p>
    <w:p w:rsidR="002F0F97" w:rsidRDefault="002F0F97" w:rsidP="002F0F97">
      <w:pPr>
        <w:jc w:val="both"/>
      </w:pPr>
    </w:p>
    <w:p w:rsidR="0007644E" w:rsidRPr="006E109A" w:rsidRDefault="002F0F97" w:rsidP="0007644E">
      <w:pPr>
        <w:ind w:left="1418" w:hanging="1418"/>
        <w:rPr>
          <w:sz w:val="22"/>
          <w:szCs w:val="22"/>
        </w:rPr>
      </w:pPr>
      <w:r w:rsidRPr="00451049">
        <w:rPr>
          <w:b/>
          <w:szCs w:val="24"/>
        </w:rPr>
        <w:t>Tárgy:</w:t>
      </w:r>
      <w:r w:rsidRPr="00451049">
        <w:rPr>
          <w:b/>
          <w:szCs w:val="24"/>
        </w:rPr>
        <w:tab/>
      </w:r>
      <w:r w:rsidR="003F7382" w:rsidRPr="00CC197F">
        <w:rPr>
          <w:szCs w:val="24"/>
        </w:rPr>
        <w:t>E</w:t>
      </w:r>
      <w:r w:rsidR="00E52118" w:rsidRPr="00E52118">
        <w:t>gyüttműködési megállapodás megkötés</w:t>
      </w:r>
      <w:r w:rsidR="003F7382">
        <w:t>e</w:t>
      </w:r>
      <w:r w:rsidR="00E52118" w:rsidRPr="00E52118">
        <w:t xml:space="preserve"> a </w:t>
      </w:r>
      <w:r w:rsidR="003F7382" w:rsidRPr="003F7382">
        <w:rPr>
          <w:rFonts w:eastAsia="Times New Roman"/>
          <w:szCs w:val="24"/>
        </w:rPr>
        <w:t>Magyar Élelmiszerbank Egyesület</w:t>
      </w:r>
      <w:r w:rsidR="003F7382">
        <w:rPr>
          <w:rFonts w:eastAsia="Times New Roman"/>
          <w:szCs w:val="24"/>
        </w:rPr>
        <w:t>t</w:t>
      </w:r>
      <w:r w:rsidR="00E52118" w:rsidRPr="00E52118">
        <w:t>el</w:t>
      </w:r>
    </w:p>
    <w:p w:rsidR="002F0F97" w:rsidRDefault="002F0F97" w:rsidP="002F0F97">
      <w:pPr>
        <w:pStyle w:val="Szvegtrzs"/>
        <w:jc w:val="both"/>
        <w:rPr>
          <w:rFonts w:eastAsia="Calibri"/>
          <w:szCs w:val="24"/>
          <w:lang w:eastAsia="en-US"/>
        </w:rPr>
      </w:pPr>
    </w:p>
    <w:p w:rsidR="002F0F97" w:rsidRDefault="002F0F97" w:rsidP="002F0F97">
      <w:pPr>
        <w:pStyle w:val="Szvegtrzs"/>
        <w:jc w:val="both"/>
        <w:rPr>
          <w:rFonts w:eastAsia="Calibri"/>
          <w:szCs w:val="24"/>
          <w:lang w:eastAsia="en-US"/>
        </w:rPr>
      </w:pPr>
    </w:p>
    <w:p w:rsidR="002F0F97" w:rsidRPr="00FA128C" w:rsidRDefault="002F0F97" w:rsidP="002F0F97">
      <w:r w:rsidRPr="00FA128C">
        <w:rPr>
          <w:b/>
        </w:rPr>
        <w:t>Készítette:</w:t>
      </w:r>
      <w:r w:rsidRPr="00FA128C">
        <w:rPr>
          <w:b/>
        </w:rPr>
        <w:tab/>
      </w:r>
      <w:proofErr w:type="gramStart"/>
      <w:r w:rsidRPr="00FA128C">
        <w:t>…………………………….</w:t>
      </w:r>
      <w:proofErr w:type="gramEnd"/>
    </w:p>
    <w:p w:rsidR="002F0F97" w:rsidRDefault="002F0F97" w:rsidP="002F0F97">
      <w:pPr>
        <w:ind w:left="708" w:firstLine="708"/>
      </w:pPr>
      <w:r>
        <w:t>Kerényi Gyula</w:t>
      </w:r>
    </w:p>
    <w:p w:rsidR="002F0F97" w:rsidRPr="00FA128C" w:rsidRDefault="002F0F97" w:rsidP="002F0F97">
      <w:pPr>
        <w:ind w:left="708" w:firstLine="708"/>
      </w:pPr>
      <w:proofErr w:type="gramStart"/>
      <w:r w:rsidRPr="00FA128C">
        <w:t>polgármesteri</w:t>
      </w:r>
      <w:proofErr w:type="gramEnd"/>
      <w:r w:rsidRPr="00FA128C">
        <w:t xml:space="preserve"> </w:t>
      </w:r>
      <w:r>
        <w:t>koordinátor</w:t>
      </w:r>
    </w:p>
    <w:p w:rsidR="002F0F97" w:rsidRDefault="002F0F97" w:rsidP="002F0F97">
      <w:pPr>
        <w:spacing w:line="256" w:lineRule="auto"/>
        <w:jc w:val="both"/>
        <w:rPr>
          <w:rFonts w:eastAsia="Calibri"/>
        </w:rPr>
      </w:pPr>
    </w:p>
    <w:p w:rsidR="002F0F97" w:rsidRDefault="002F0F97" w:rsidP="002F0F97">
      <w:pPr>
        <w:spacing w:after="160" w:line="256" w:lineRule="auto"/>
        <w:jc w:val="both"/>
        <w:rPr>
          <w:rFonts w:eastAsia="Calibri"/>
        </w:rPr>
      </w:pPr>
    </w:p>
    <w:p w:rsidR="002F0F97" w:rsidRPr="00FA128C" w:rsidRDefault="002F0F97" w:rsidP="002F0F97">
      <w:r w:rsidRPr="00FA128C">
        <w:rPr>
          <w:b/>
        </w:rPr>
        <w:t>Egyeztetve:</w:t>
      </w:r>
      <w:r w:rsidRPr="00FA128C">
        <w:rPr>
          <w:b/>
        </w:rPr>
        <w:tab/>
      </w:r>
      <w:proofErr w:type="gramStart"/>
      <w:r w:rsidRPr="00FA128C">
        <w:t>…………………………….</w:t>
      </w:r>
      <w:proofErr w:type="gramEnd"/>
    </w:p>
    <w:p w:rsidR="002F0F97" w:rsidRPr="00FA128C" w:rsidRDefault="002F0F97" w:rsidP="002F0F97">
      <w:r w:rsidRPr="00FA128C">
        <w:tab/>
      </w:r>
      <w:r w:rsidRPr="00FA128C">
        <w:tab/>
      </w:r>
      <w:proofErr w:type="gramStart"/>
      <w:r>
        <w:t>dr.</w:t>
      </w:r>
      <w:proofErr w:type="gramEnd"/>
      <w:r>
        <w:t xml:space="preserve"> Varga Előd Bendegúz</w:t>
      </w:r>
    </w:p>
    <w:p w:rsidR="002F0F97" w:rsidRPr="00FA128C" w:rsidRDefault="002F0F97" w:rsidP="002F0F97">
      <w:r w:rsidRPr="00FA128C">
        <w:tab/>
      </w:r>
      <w:r w:rsidRPr="00FA128C">
        <w:tab/>
      </w:r>
      <w:proofErr w:type="gramStart"/>
      <w:r>
        <w:t>alpolgármester</w:t>
      </w:r>
      <w:proofErr w:type="gramEnd"/>
    </w:p>
    <w:p w:rsidR="002F0F97" w:rsidRPr="00850407" w:rsidRDefault="002F0F97" w:rsidP="002F0F97">
      <w:pPr>
        <w:jc w:val="both"/>
        <w:rPr>
          <w:rFonts w:eastAsia="Calibri"/>
        </w:rPr>
      </w:pPr>
    </w:p>
    <w:p w:rsidR="002F0F97" w:rsidRDefault="002F0F97" w:rsidP="002F0F97">
      <w:pPr>
        <w:jc w:val="both"/>
        <w:rPr>
          <w:rFonts w:eastAsia="Calibri"/>
        </w:rPr>
      </w:pPr>
    </w:p>
    <w:p w:rsidR="002F0F97" w:rsidRPr="00850407" w:rsidRDefault="002F0F97" w:rsidP="002F0F97">
      <w:pPr>
        <w:jc w:val="both"/>
        <w:rPr>
          <w:rFonts w:eastAsia="Calibri"/>
        </w:rPr>
      </w:pPr>
    </w:p>
    <w:p w:rsidR="002F0F97" w:rsidRDefault="002F0F97" w:rsidP="002F0F97">
      <w:pPr>
        <w:jc w:val="both"/>
        <w:rPr>
          <w:rFonts w:eastAsia="Calibri"/>
        </w:rPr>
      </w:pPr>
      <w:r w:rsidRPr="00850407">
        <w:rPr>
          <w:rFonts w:eastAsia="Calibri"/>
          <w:b/>
        </w:rPr>
        <w:t>Látta</w:t>
      </w:r>
      <w:r w:rsidRPr="00850407">
        <w:rPr>
          <w:rFonts w:eastAsia="Calibri"/>
        </w:rPr>
        <w:t>:</w:t>
      </w:r>
      <w:r>
        <w:rPr>
          <w:rFonts w:eastAsia="Calibri"/>
        </w:rPr>
        <w:tab/>
      </w:r>
      <w:r>
        <w:rPr>
          <w:rFonts w:eastAsia="Calibri"/>
        </w:rPr>
        <w:tab/>
      </w:r>
      <w:proofErr w:type="gramStart"/>
      <w:r>
        <w:rPr>
          <w:rFonts w:eastAsia="Calibri"/>
        </w:rPr>
        <w:t>………………………………</w:t>
      </w:r>
      <w:proofErr w:type="gramEnd"/>
      <w:r w:rsidRPr="00850407">
        <w:rPr>
          <w:rFonts w:eastAsia="Calibri"/>
        </w:rPr>
        <w:t xml:space="preserve">  </w:t>
      </w:r>
    </w:p>
    <w:p w:rsidR="002F0F97" w:rsidRPr="00850407" w:rsidRDefault="002F0F97" w:rsidP="002F0F97">
      <w:pPr>
        <w:ind w:left="708" w:firstLine="708"/>
        <w:jc w:val="both"/>
        <w:rPr>
          <w:rFonts w:eastAsia="Calibri"/>
        </w:rPr>
      </w:pPr>
      <w:proofErr w:type="gramStart"/>
      <w:r w:rsidRPr="00850407">
        <w:rPr>
          <w:rFonts w:eastAsia="Calibri"/>
        </w:rPr>
        <w:t>dr.</w:t>
      </w:r>
      <w:proofErr w:type="gramEnd"/>
      <w:r w:rsidRPr="00850407">
        <w:rPr>
          <w:rFonts w:eastAsia="Calibri"/>
        </w:rPr>
        <w:t xml:space="preserve"> Szalai Tibor </w:t>
      </w:r>
    </w:p>
    <w:p w:rsidR="002F0F97" w:rsidRPr="00850407" w:rsidRDefault="002F0F97" w:rsidP="002F0F97">
      <w:pPr>
        <w:ind w:left="708" w:firstLine="708"/>
        <w:jc w:val="both"/>
        <w:rPr>
          <w:rFonts w:eastAsia="Calibri"/>
        </w:rPr>
      </w:pPr>
      <w:proofErr w:type="gramStart"/>
      <w:r w:rsidRPr="00850407">
        <w:rPr>
          <w:rFonts w:eastAsia="Calibri"/>
        </w:rPr>
        <w:t>jegyző</w:t>
      </w:r>
      <w:proofErr w:type="gramEnd"/>
    </w:p>
    <w:p w:rsidR="002F0F97" w:rsidRDefault="002F0F97" w:rsidP="002F0F97">
      <w:pPr>
        <w:jc w:val="both"/>
        <w:rPr>
          <w:rFonts w:eastAsia="Calibri"/>
        </w:rPr>
      </w:pPr>
    </w:p>
    <w:p w:rsidR="002F0F97" w:rsidRDefault="002F0F97" w:rsidP="002F0F97">
      <w:pPr>
        <w:jc w:val="both"/>
        <w:rPr>
          <w:rFonts w:eastAsia="Calibri"/>
        </w:rPr>
      </w:pPr>
    </w:p>
    <w:p w:rsidR="002F0F97" w:rsidRPr="00850407" w:rsidRDefault="002F0F97" w:rsidP="002F0F97">
      <w:pPr>
        <w:jc w:val="both"/>
        <w:rPr>
          <w:rFonts w:eastAsia="Calibri"/>
        </w:rPr>
      </w:pPr>
    </w:p>
    <w:p w:rsidR="002F0F97" w:rsidRPr="00850407" w:rsidRDefault="002F0F97" w:rsidP="002F0F97">
      <w:pPr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………………………………</w:t>
      </w:r>
    </w:p>
    <w:p w:rsidR="002F0F97" w:rsidRPr="00850407" w:rsidRDefault="002F0F97" w:rsidP="002F0F97">
      <w:pPr>
        <w:ind w:left="708" w:right="4535" w:firstLine="708"/>
        <w:jc w:val="both"/>
        <w:rPr>
          <w:rFonts w:eastAsia="Calibri"/>
        </w:rPr>
      </w:pPr>
      <w:proofErr w:type="gramStart"/>
      <w:r w:rsidRPr="00850407">
        <w:rPr>
          <w:rFonts w:eastAsia="Calibri"/>
        </w:rPr>
        <w:t>dr.</w:t>
      </w:r>
      <w:proofErr w:type="gramEnd"/>
      <w:r w:rsidRPr="00850407">
        <w:rPr>
          <w:rFonts w:eastAsia="Calibri"/>
        </w:rPr>
        <w:t xml:space="preserve"> Silye Tamás </w:t>
      </w:r>
    </w:p>
    <w:p w:rsidR="002F0F97" w:rsidRPr="00850407" w:rsidRDefault="002F0F97" w:rsidP="002F0F97">
      <w:pPr>
        <w:ind w:left="708" w:firstLine="708"/>
        <w:jc w:val="both"/>
        <w:rPr>
          <w:rFonts w:eastAsia="Calibri"/>
        </w:rPr>
      </w:pPr>
      <w:proofErr w:type="gramStart"/>
      <w:r w:rsidRPr="00850407">
        <w:rPr>
          <w:rFonts w:eastAsia="Calibri"/>
        </w:rPr>
        <w:t>jegyzői</w:t>
      </w:r>
      <w:proofErr w:type="gramEnd"/>
      <w:r w:rsidRPr="00850407">
        <w:rPr>
          <w:rFonts w:eastAsia="Calibri"/>
        </w:rPr>
        <w:t xml:space="preserve"> igazgató</w:t>
      </w:r>
    </w:p>
    <w:p w:rsidR="002F0F97" w:rsidRPr="00850407" w:rsidRDefault="002F0F97" w:rsidP="002F0F97">
      <w:pPr>
        <w:jc w:val="both"/>
        <w:rPr>
          <w:rFonts w:eastAsia="Calibri"/>
        </w:rPr>
      </w:pPr>
    </w:p>
    <w:p w:rsidR="002F0F97" w:rsidRPr="00850407" w:rsidRDefault="002F0F97" w:rsidP="002F0F97">
      <w:pPr>
        <w:spacing w:line="264" w:lineRule="auto"/>
        <w:jc w:val="both"/>
      </w:pPr>
    </w:p>
    <w:p w:rsidR="002F0F97" w:rsidRDefault="002F0F97" w:rsidP="002F0F97">
      <w:pPr>
        <w:jc w:val="right"/>
      </w:pPr>
    </w:p>
    <w:p w:rsidR="002F0F97" w:rsidRDefault="002F0F97" w:rsidP="002F0F97">
      <w:pPr>
        <w:jc w:val="right"/>
      </w:pPr>
    </w:p>
    <w:p w:rsidR="002F0F97" w:rsidRDefault="002F0F97" w:rsidP="002F0F97">
      <w:pPr>
        <w:snapToGrid w:val="0"/>
        <w:jc w:val="right"/>
      </w:pPr>
      <w:r>
        <w:t>A napirend tárgyalása zárt ülést nem igényel!</w:t>
      </w:r>
    </w:p>
    <w:p w:rsidR="008D2F5E" w:rsidRPr="00DF1F40" w:rsidRDefault="002F0F97" w:rsidP="00992887">
      <w:pPr>
        <w:tabs>
          <w:tab w:val="left" w:pos="912"/>
        </w:tabs>
        <w:snapToGrid w:val="0"/>
        <w:rPr>
          <w:b/>
        </w:rPr>
      </w:pPr>
      <w:r>
        <w:br w:type="page"/>
      </w:r>
      <w:r w:rsidR="008D2F5E" w:rsidRPr="00DF1F40">
        <w:rPr>
          <w:rFonts w:eastAsia="Times New Roman"/>
          <w:b/>
          <w:bCs/>
          <w:szCs w:val="24"/>
        </w:rPr>
        <w:lastRenderedPageBreak/>
        <w:t>Tisztelt Képviselő-testület!</w:t>
      </w:r>
      <w:r w:rsidR="008D2F5E" w:rsidRPr="00DF1F40">
        <w:rPr>
          <w:rFonts w:eastAsia="Times New Roman"/>
          <w:b/>
          <w:szCs w:val="24"/>
        </w:rPr>
        <w:t xml:space="preserve"> </w:t>
      </w:r>
    </w:p>
    <w:p w:rsidR="008D2F5E" w:rsidRDefault="008D2F5E">
      <w:pPr>
        <w:snapToGrid w:val="0"/>
        <w:jc w:val="both"/>
        <w:rPr>
          <w:rFonts w:eastAsia="Times New Roman"/>
          <w:szCs w:val="24"/>
        </w:rPr>
      </w:pPr>
    </w:p>
    <w:p w:rsidR="00E52118" w:rsidRDefault="00E52118">
      <w:pPr>
        <w:snapToGrid w:val="0"/>
        <w:jc w:val="both"/>
        <w:rPr>
          <w:rFonts w:eastAsia="Times New Roman"/>
          <w:szCs w:val="24"/>
        </w:rPr>
      </w:pPr>
      <w:r w:rsidRPr="00E52118">
        <w:rPr>
          <w:rFonts w:eastAsia="Times New Roman"/>
          <w:szCs w:val="24"/>
        </w:rPr>
        <w:t xml:space="preserve">Az élelmiszer-veszteség és </w:t>
      </w:r>
      <w:proofErr w:type="spellStart"/>
      <w:r w:rsidRPr="00E52118">
        <w:rPr>
          <w:rFonts w:eastAsia="Times New Roman"/>
          <w:szCs w:val="24"/>
        </w:rPr>
        <w:t>-pazarlás</w:t>
      </w:r>
      <w:proofErr w:type="spellEnd"/>
      <w:r w:rsidRPr="00E52118">
        <w:rPr>
          <w:rFonts w:eastAsia="Times New Roman"/>
          <w:szCs w:val="24"/>
        </w:rPr>
        <w:t xml:space="preserve"> globális kihívást jelent. Az ENSZ Élelmezési és Mezőgazdasági Szervezete (FAO) szerint </w:t>
      </w:r>
      <w:r w:rsidRPr="00DE3B3B">
        <w:rPr>
          <w:rFonts w:eastAsia="Times New Roman"/>
          <w:b/>
          <w:szCs w:val="24"/>
        </w:rPr>
        <w:t>a világon előállított összes élelmiszer mintegy egyharmada kárba vész</w:t>
      </w:r>
      <w:r w:rsidRPr="00E52118">
        <w:rPr>
          <w:rFonts w:eastAsia="Times New Roman"/>
          <w:szCs w:val="24"/>
        </w:rPr>
        <w:t xml:space="preserve"> </w:t>
      </w:r>
      <w:r w:rsidRPr="00DE3B3B">
        <w:rPr>
          <w:rFonts w:eastAsia="Times New Roman"/>
          <w:b/>
          <w:szCs w:val="24"/>
        </w:rPr>
        <w:t>vagy hulladékká válik</w:t>
      </w:r>
      <w:r w:rsidRPr="00E52118">
        <w:rPr>
          <w:rFonts w:eastAsia="Times New Roman"/>
          <w:szCs w:val="24"/>
        </w:rPr>
        <w:t xml:space="preserve"> az élelmiszer</w:t>
      </w:r>
      <w:r w:rsidR="00E278C6">
        <w:rPr>
          <w:rFonts w:eastAsia="Times New Roman"/>
          <w:szCs w:val="24"/>
        </w:rPr>
        <w:t>-ellátási lánc valamely pontján. A veszteség t</w:t>
      </w:r>
      <w:r w:rsidR="00E278C6" w:rsidRPr="00E278C6">
        <w:rPr>
          <w:rFonts w:eastAsia="Times New Roman"/>
          <w:szCs w:val="24"/>
        </w:rPr>
        <w:t>öbb mint fele a háztartásokban keletkezik, a feldolgozás</w:t>
      </w:r>
      <w:r w:rsidR="00E278C6">
        <w:rPr>
          <w:rFonts w:eastAsia="Times New Roman"/>
          <w:szCs w:val="24"/>
        </w:rPr>
        <w:t xml:space="preserve"> során</w:t>
      </w:r>
      <w:r w:rsidR="00E278C6" w:rsidRPr="00E278C6">
        <w:rPr>
          <w:rFonts w:eastAsia="Times New Roman"/>
          <w:szCs w:val="24"/>
        </w:rPr>
        <w:t xml:space="preserve"> 19%, </w:t>
      </w:r>
      <w:r w:rsidR="00E278C6">
        <w:rPr>
          <w:rFonts w:eastAsia="Times New Roman"/>
          <w:szCs w:val="24"/>
        </w:rPr>
        <w:t xml:space="preserve">a </w:t>
      </w:r>
      <w:r w:rsidR="00E278C6" w:rsidRPr="00E278C6">
        <w:rPr>
          <w:rFonts w:eastAsia="Times New Roman"/>
          <w:szCs w:val="24"/>
        </w:rPr>
        <w:t>vendéglátás</w:t>
      </w:r>
      <w:r w:rsidR="00E278C6">
        <w:rPr>
          <w:rFonts w:eastAsia="Times New Roman"/>
          <w:szCs w:val="24"/>
        </w:rPr>
        <w:t xml:space="preserve">ban </w:t>
      </w:r>
      <w:r w:rsidR="00E278C6" w:rsidRPr="00E278C6">
        <w:rPr>
          <w:rFonts w:eastAsia="Times New Roman"/>
          <w:szCs w:val="24"/>
        </w:rPr>
        <w:t xml:space="preserve">12%, </w:t>
      </w:r>
      <w:r w:rsidR="00E278C6">
        <w:rPr>
          <w:rFonts w:eastAsia="Times New Roman"/>
          <w:szCs w:val="24"/>
        </w:rPr>
        <w:t>az elsődleges termelés során 11%</w:t>
      </w:r>
      <w:r w:rsidR="00E278C6" w:rsidRPr="00E278C6">
        <w:rPr>
          <w:rFonts w:eastAsia="Times New Roman"/>
          <w:szCs w:val="24"/>
        </w:rPr>
        <w:t xml:space="preserve">, </w:t>
      </w:r>
      <w:r w:rsidR="00E278C6">
        <w:rPr>
          <w:rFonts w:eastAsia="Times New Roman"/>
          <w:szCs w:val="24"/>
        </w:rPr>
        <w:t>míg</w:t>
      </w:r>
      <w:r w:rsidR="00E278C6" w:rsidRPr="00E278C6">
        <w:rPr>
          <w:rFonts w:eastAsia="Times New Roman"/>
          <w:szCs w:val="24"/>
        </w:rPr>
        <w:t xml:space="preserve"> a nagy- és kiskereskedelem</w:t>
      </w:r>
      <w:r w:rsidR="00E278C6">
        <w:rPr>
          <w:rFonts w:eastAsia="Times New Roman"/>
          <w:szCs w:val="24"/>
        </w:rPr>
        <w:t xml:space="preserve">ben </w:t>
      </w:r>
      <w:r w:rsidR="00E278C6" w:rsidRPr="00E278C6">
        <w:rPr>
          <w:rFonts w:eastAsia="Times New Roman"/>
          <w:szCs w:val="24"/>
        </w:rPr>
        <w:t>5%.</w:t>
      </w:r>
    </w:p>
    <w:p w:rsidR="00E52118" w:rsidRDefault="00E52118">
      <w:pPr>
        <w:snapToGrid w:val="0"/>
        <w:jc w:val="both"/>
        <w:rPr>
          <w:rFonts w:eastAsia="Times New Roman"/>
          <w:szCs w:val="24"/>
        </w:rPr>
      </w:pPr>
    </w:p>
    <w:p w:rsidR="00E52118" w:rsidRDefault="00E52118">
      <w:pPr>
        <w:snapToGrid w:val="0"/>
        <w:jc w:val="both"/>
        <w:rPr>
          <w:rFonts w:eastAsia="Times New Roman"/>
          <w:szCs w:val="24"/>
        </w:rPr>
      </w:pPr>
      <w:r w:rsidRPr="00E52118">
        <w:rPr>
          <w:rFonts w:eastAsia="Times New Roman"/>
          <w:szCs w:val="24"/>
        </w:rPr>
        <w:t xml:space="preserve">Az Európai Unióban </w:t>
      </w:r>
      <w:r>
        <w:rPr>
          <w:rFonts w:eastAsia="Times New Roman"/>
          <w:szCs w:val="24"/>
        </w:rPr>
        <w:t>2014-</w:t>
      </w:r>
      <w:r w:rsidR="00AA732B">
        <w:rPr>
          <w:rFonts w:eastAsia="Times New Roman"/>
          <w:szCs w:val="24"/>
        </w:rPr>
        <w:t xml:space="preserve">es adat szerint </w:t>
      </w:r>
      <w:r w:rsidRPr="00E52118">
        <w:rPr>
          <w:rFonts w:eastAsia="Times New Roman"/>
          <w:szCs w:val="24"/>
        </w:rPr>
        <w:t>évente 88 millió tonna, vagyis fejenként 173 kilogramm ételhulladék termelőd</w:t>
      </w:r>
      <w:r w:rsidR="00AA732B">
        <w:rPr>
          <w:rFonts w:eastAsia="Times New Roman"/>
          <w:szCs w:val="24"/>
        </w:rPr>
        <w:t>ött. En</w:t>
      </w:r>
      <w:r w:rsidRPr="00E52118">
        <w:rPr>
          <w:rFonts w:eastAsia="Times New Roman"/>
          <w:szCs w:val="24"/>
        </w:rPr>
        <w:t>nek nemcsak gazdasági</w:t>
      </w:r>
      <w:r w:rsidR="00AA732B">
        <w:rPr>
          <w:rFonts w:eastAsia="Times New Roman"/>
          <w:szCs w:val="24"/>
        </w:rPr>
        <w:t>, de</w:t>
      </w:r>
      <w:r w:rsidRPr="00E52118">
        <w:rPr>
          <w:rFonts w:eastAsia="Times New Roman"/>
          <w:szCs w:val="24"/>
        </w:rPr>
        <w:t xml:space="preserve"> </w:t>
      </w:r>
      <w:r w:rsidR="00AA732B" w:rsidRPr="00E52118">
        <w:rPr>
          <w:rFonts w:eastAsia="Times New Roman"/>
          <w:szCs w:val="24"/>
        </w:rPr>
        <w:t>környezet</w:t>
      </w:r>
      <w:r w:rsidR="00AA732B">
        <w:rPr>
          <w:rFonts w:eastAsia="Times New Roman"/>
          <w:szCs w:val="24"/>
        </w:rPr>
        <w:t>i</w:t>
      </w:r>
      <w:r w:rsidR="00AA732B" w:rsidRPr="00E52118">
        <w:rPr>
          <w:rFonts w:eastAsia="Times New Roman"/>
          <w:szCs w:val="24"/>
        </w:rPr>
        <w:t xml:space="preserve"> </w:t>
      </w:r>
      <w:r w:rsidRPr="00E52118">
        <w:rPr>
          <w:rFonts w:eastAsia="Times New Roman"/>
          <w:szCs w:val="24"/>
        </w:rPr>
        <w:t xml:space="preserve">következményei </w:t>
      </w:r>
      <w:r w:rsidR="00AA732B">
        <w:rPr>
          <w:rFonts w:eastAsia="Times New Roman"/>
          <w:szCs w:val="24"/>
        </w:rPr>
        <w:t xml:space="preserve">is </w:t>
      </w:r>
      <w:r w:rsidRPr="00E52118">
        <w:rPr>
          <w:rFonts w:eastAsia="Times New Roman"/>
          <w:szCs w:val="24"/>
        </w:rPr>
        <w:t>vannak, ugyanis az ételhulladékok nemcsak az olyan értékes erőforrások pazarlásához vezetn</w:t>
      </w:r>
      <w:r>
        <w:rPr>
          <w:rFonts w:eastAsia="Times New Roman"/>
          <w:szCs w:val="24"/>
        </w:rPr>
        <w:t xml:space="preserve">ek, mint a víz és az </w:t>
      </w:r>
      <w:r w:rsidRPr="00E52118">
        <w:rPr>
          <w:rFonts w:eastAsia="Times New Roman"/>
          <w:szCs w:val="24"/>
        </w:rPr>
        <w:t xml:space="preserve">energia, </w:t>
      </w:r>
      <w:r>
        <w:rPr>
          <w:rFonts w:eastAsia="Times New Roman"/>
          <w:szCs w:val="24"/>
        </w:rPr>
        <w:t>de</w:t>
      </w:r>
      <w:r w:rsidRPr="00E52118">
        <w:rPr>
          <w:rFonts w:eastAsia="Times New Roman"/>
          <w:szCs w:val="24"/>
        </w:rPr>
        <w:t xml:space="preserve"> káros hatással van a környezetre is: a hulladékok keletkezése és ártalmatlanítása 170 millió tonna CO</w:t>
      </w:r>
      <w:r w:rsidRPr="00E52118">
        <w:rPr>
          <w:rFonts w:eastAsia="Times New Roman"/>
          <w:szCs w:val="24"/>
          <w:vertAlign w:val="subscript"/>
        </w:rPr>
        <w:t>2</w:t>
      </w:r>
      <w:r w:rsidRPr="00E52118">
        <w:rPr>
          <w:rFonts w:eastAsia="Times New Roman"/>
          <w:szCs w:val="24"/>
        </w:rPr>
        <w:t xml:space="preserve"> termelődésével jár.</w:t>
      </w:r>
      <w:r>
        <w:rPr>
          <w:rFonts w:eastAsia="Times New Roman"/>
          <w:szCs w:val="24"/>
        </w:rPr>
        <w:t xml:space="preserve"> A probléma</w:t>
      </w:r>
      <w:r w:rsidRPr="00E52118">
        <w:rPr>
          <w:rFonts w:eastAsia="Times New Roman"/>
          <w:szCs w:val="24"/>
        </w:rPr>
        <w:t xml:space="preserve"> morális jellegű is: rengetegen éheznek, vagy nem jutnak megfelelő élelemhez, mégis mindennap é</w:t>
      </w:r>
      <w:r w:rsidR="00AA732B">
        <w:rPr>
          <w:rFonts w:eastAsia="Times New Roman"/>
          <w:szCs w:val="24"/>
        </w:rPr>
        <w:t>telhulladék-hegyek keletkeznek. Ezért a</w:t>
      </w:r>
      <w:r w:rsidRPr="00E52118">
        <w:rPr>
          <w:rFonts w:eastAsia="Times New Roman"/>
          <w:szCs w:val="24"/>
        </w:rPr>
        <w:t>z Európai Parlament 2017. május 16-i ülésen az ételhulladék mennyiség</w:t>
      </w:r>
      <w:r>
        <w:rPr>
          <w:rFonts w:eastAsia="Times New Roman"/>
          <w:szCs w:val="24"/>
        </w:rPr>
        <w:t xml:space="preserve">ének komoly csökkentését célzó </w:t>
      </w:r>
      <w:r w:rsidRPr="00E52118">
        <w:rPr>
          <w:rFonts w:eastAsia="Times New Roman"/>
          <w:szCs w:val="24"/>
        </w:rPr>
        <w:t>állásfoglalást fogadott el, felszólítva a Bizottságot, hogy könnyítse meg az élelmiszer adományozását és emellett teremtsen tiszta helyzetet a lejárati id</w:t>
      </w:r>
      <w:r>
        <w:rPr>
          <w:rFonts w:eastAsia="Times New Roman"/>
          <w:szCs w:val="24"/>
        </w:rPr>
        <w:t>őt jelölő elnevezések között, annak érdekében</w:t>
      </w:r>
      <w:r w:rsidRPr="00E52118">
        <w:rPr>
          <w:rFonts w:eastAsia="Times New Roman"/>
          <w:szCs w:val="24"/>
        </w:rPr>
        <w:t>, hogy a 2014-es szinthez képest 2025-re 30%-ka</w:t>
      </w:r>
      <w:r>
        <w:rPr>
          <w:rFonts w:eastAsia="Times New Roman"/>
          <w:szCs w:val="24"/>
        </w:rPr>
        <w:t xml:space="preserve">l, 2030-ra 50%-kal csökkenjen az </w:t>
      </w:r>
      <w:r w:rsidRPr="00E52118">
        <w:rPr>
          <w:rFonts w:eastAsia="Times New Roman"/>
          <w:szCs w:val="24"/>
        </w:rPr>
        <w:t>évi 88 millió tonna kidobott élelmiszer mennyisége.</w:t>
      </w:r>
    </w:p>
    <w:p w:rsidR="00AA732B" w:rsidRDefault="00AA732B">
      <w:pPr>
        <w:snapToGrid w:val="0"/>
        <w:jc w:val="both"/>
        <w:rPr>
          <w:rFonts w:eastAsia="Times New Roman"/>
          <w:szCs w:val="24"/>
        </w:rPr>
      </w:pPr>
    </w:p>
    <w:p w:rsidR="00AA732B" w:rsidRDefault="00AA732B" w:rsidP="00AA732B">
      <w:pPr>
        <w:snapToGrid w:val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2023-as adatok szerint a helyzet javult, de még mindig </w:t>
      </w:r>
      <w:r w:rsidRPr="00AA732B">
        <w:rPr>
          <w:rFonts w:eastAsia="Times New Roman"/>
          <w:szCs w:val="24"/>
        </w:rPr>
        <w:t>közel 59 millió tonna élelmiszer válik hulladékká</w:t>
      </w:r>
      <w:r>
        <w:rPr>
          <w:rFonts w:eastAsia="Times New Roman"/>
          <w:szCs w:val="24"/>
        </w:rPr>
        <w:t xml:space="preserve"> </w:t>
      </w:r>
      <w:r w:rsidRPr="00AA732B">
        <w:rPr>
          <w:rFonts w:eastAsia="Times New Roman"/>
          <w:szCs w:val="24"/>
        </w:rPr>
        <w:t>évente</w:t>
      </w:r>
      <w:r>
        <w:rPr>
          <w:rFonts w:eastAsia="Times New Roman"/>
          <w:szCs w:val="24"/>
        </w:rPr>
        <w:t>, e</w:t>
      </w:r>
      <w:r w:rsidRPr="00AA732B">
        <w:rPr>
          <w:rFonts w:eastAsia="Times New Roman"/>
          <w:szCs w:val="24"/>
        </w:rPr>
        <w:t>z személyenké</w:t>
      </w:r>
      <w:r w:rsidR="00E278C6">
        <w:rPr>
          <w:rFonts w:eastAsia="Times New Roman"/>
          <w:szCs w:val="24"/>
        </w:rPr>
        <w:t>nt 131 kg hulladékot jelent</w:t>
      </w:r>
      <w:r w:rsidRPr="00AA732B">
        <w:rPr>
          <w:rFonts w:eastAsia="Times New Roman"/>
          <w:szCs w:val="24"/>
        </w:rPr>
        <w:t>. 2023 júliusában az Európai Bizottság javaslatot terjesztett elő a hulladékokról szóló uniós keretirányelv</w:t>
      </w:r>
      <w:r>
        <w:rPr>
          <w:rFonts w:eastAsia="Times New Roman"/>
          <w:szCs w:val="24"/>
        </w:rPr>
        <w:t xml:space="preserve"> felülvizsgálatára vonatkozóan, amelynek keretében </w:t>
      </w:r>
      <w:r w:rsidRPr="00AA732B">
        <w:rPr>
          <w:rFonts w:eastAsia="Times New Roman"/>
          <w:szCs w:val="24"/>
        </w:rPr>
        <w:t>az EU új célokat fog megállapítani az élelmiszer-pazarlás csökkentésére vonatkozóan 2030-ra. A javaslatot a Tanács jelenleg tárgyalja.</w:t>
      </w:r>
    </w:p>
    <w:p w:rsidR="00E52118" w:rsidRDefault="00E52118">
      <w:pPr>
        <w:snapToGrid w:val="0"/>
        <w:jc w:val="both"/>
        <w:rPr>
          <w:rFonts w:eastAsia="Times New Roman"/>
          <w:szCs w:val="24"/>
        </w:rPr>
      </w:pPr>
    </w:p>
    <w:p w:rsidR="00F32AF1" w:rsidRDefault="00E278C6">
      <w:pPr>
        <w:snapToGrid w:val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A 2014-es, becslés</w:t>
      </w:r>
      <w:r w:rsidR="00F32AF1">
        <w:rPr>
          <w:rFonts w:eastAsia="Times New Roman"/>
          <w:szCs w:val="24"/>
        </w:rPr>
        <w:t>ek</w:t>
      </w:r>
      <w:r>
        <w:rPr>
          <w:rFonts w:eastAsia="Times New Roman"/>
          <w:szCs w:val="24"/>
        </w:rPr>
        <w:t xml:space="preserve">en alapuló EU felmérés magyarországi adatainál 175 kg </w:t>
      </w:r>
      <w:r w:rsidR="00F32AF1">
        <w:rPr>
          <w:rFonts w:eastAsia="Times New Roman"/>
          <w:szCs w:val="24"/>
        </w:rPr>
        <w:t xml:space="preserve">élelmiszerhulladék szerepelt, ami körülbelül az uniós átlagnak felelt meg. </w:t>
      </w:r>
      <w:r w:rsidR="003F7382">
        <w:rPr>
          <w:rFonts w:eastAsia="Times New Roman"/>
          <w:szCs w:val="24"/>
        </w:rPr>
        <w:t xml:space="preserve">A </w:t>
      </w:r>
      <w:r w:rsidR="003F7382" w:rsidRPr="003F7382">
        <w:rPr>
          <w:rFonts w:eastAsia="Times New Roman"/>
          <w:szCs w:val="24"/>
        </w:rPr>
        <w:t>Magyar Élelmiszerbank Egyesület</w:t>
      </w:r>
      <w:r w:rsidR="003F7382">
        <w:rPr>
          <w:rFonts w:eastAsia="Times New Roman"/>
          <w:szCs w:val="24"/>
        </w:rPr>
        <w:t xml:space="preserve"> adatai szerint </w:t>
      </w:r>
      <w:r w:rsidR="003F7382" w:rsidRPr="00F32AF1">
        <w:rPr>
          <w:rFonts w:eastAsia="Times New Roman"/>
          <w:szCs w:val="24"/>
        </w:rPr>
        <w:t>Magyarországon évente 1,8 millió tonna</w:t>
      </w:r>
      <w:r w:rsidR="003F7382">
        <w:rPr>
          <w:rFonts w:eastAsia="Times New Roman"/>
          <w:szCs w:val="24"/>
        </w:rPr>
        <w:t xml:space="preserve"> élelmiszerfelesleg keletkezik: ha</w:t>
      </w:r>
      <w:r w:rsidR="003F7382" w:rsidRPr="00F32AF1">
        <w:rPr>
          <w:rFonts w:eastAsia="Times New Roman"/>
          <w:szCs w:val="24"/>
        </w:rPr>
        <w:t xml:space="preserve"> ezt a mennyiséget kamionokra raknánk, a sor Budapesttől Párizsig érne.</w:t>
      </w:r>
      <w:r w:rsidR="003F7382">
        <w:rPr>
          <w:rFonts w:eastAsia="Times New Roman"/>
          <w:szCs w:val="24"/>
        </w:rPr>
        <w:t xml:space="preserve"> Ha a</w:t>
      </w:r>
      <w:r w:rsidR="00F32AF1" w:rsidRPr="00F32AF1">
        <w:rPr>
          <w:rFonts w:eastAsia="Times New Roman"/>
          <w:szCs w:val="24"/>
        </w:rPr>
        <w:t xml:space="preserve"> magyar lakosság élelmiszerpazarlását 2016 óta nyomon </w:t>
      </w:r>
      <w:r w:rsidR="00F32AF1">
        <w:rPr>
          <w:rFonts w:eastAsia="Times New Roman"/>
          <w:szCs w:val="24"/>
        </w:rPr>
        <w:t>követő</w:t>
      </w:r>
      <w:r w:rsidR="00F32AF1" w:rsidRPr="00F32AF1">
        <w:rPr>
          <w:rFonts w:eastAsia="Times New Roman"/>
          <w:szCs w:val="24"/>
        </w:rPr>
        <w:t xml:space="preserve"> Nemzeti Élelmiszerlánc-biztonsági Hivatal (</w:t>
      </w:r>
      <w:proofErr w:type="spellStart"/>
      <w:r w:rsidR="00F32AF1" w:rsidRPr="00F32AF1">
        <w:rPr>
          <w:rFonts w:eastAsia="Times New Roman"/>
          <w:szCs w:val="24"/>
        </w:rPr>
        <w:t>Nébih</w:t>
      </w:r>
      <w:proofErr w:type="spellEnd"/>
      <w:r w:rsidR="00F32AF1" w:rsidRPr="00F32AF1">
        <w:rPr>
          <w:rFonts w:eastAsia="Times New Roman"/>
          <w:szCs w:val="24"/>
        </w:rPr>
        <w:t>)</w:t>
      </w:r>
      <w:r w:rsidR="00F32AF1">
        <w:rPr>
          <w:rFonts w:eastAsia="Times New Roman"/>
          <w:szCs w:val="24"/>
        </w:rPr>
        <w:t xml:space="preserve"> </w:t>
      </w:r>
      <w:r w:rsidR="003F7382">
        <w:rPr>
          <w:rFonts w:eastAsia="Times New Roman"/>
          <w:szCs w:val="24"/>
        </w:rPr>
        <w:t xml:space="preserve">adataira támaszkodunk, ők </w:t>
      </w:r>
      <w:r w:rsidR="00F32AF1">
        <w:rPr>
          <w:rFonts w:eastAsia="Times New Roman"/>
          <w:szCs w:val="24"/>
        </w:rPr>
        <w:t xml:space="preserve">2016 és 2021 között 24%-os </w:t>
      </w:r>
      <w:r w:rsidR="003F7382">
        <w:rPr>
          <w:rFonts w:eastAsia="Times New Roman"/>
          <w:szCs w:val="24"/>
        </w:rPr>
        <w:t>csökkenést mutattak ki: a</w:t>
      </w:r>
      <w:r w:rsidR="00F32AF1">
        <w:rPr>
          <w:rFonts w:eastAsia="Times New Roman"/>
          <w:szCs w:val="24"/>
        </w:rPr>
        <w:t xml:space="preserve"> </w:t>
      </w:r>
      <w:r w:rsidR="00F32AF1" w:rsidRPr="00F32AF1">
        <w:rPr>
          <w:rFonts w:eastAsia="Times New Roman"/>
          <w:i/>
          <w:szCs w:val="24"/>
        </w:rPr>
        <w:t>Maradék nélkül</w:t>
      </w:r>
      <w:r w:rsidR="00F32AF1" w:rsidRPr="00F32AF1">
        <w:rPr>
          <w:rFonts w:eastAsia="Times New Roman"/>
          <w:szCs w:val="24"/>
        </w:rPr>
        <w:t xml:space="preserve"> program</w:t>
      </w:r>
      <w:r w:rsidR="00F32AF1">
        <w:rPr>
          <w:rFonts w:eastAsia="Times New Roman"/>
          <w:szCs w:val="24"/>
        </w:rPr>
        <w:t xml:space="preserve">ban </w:t>
      </w:r>
      <w:r w:rsidR="00F32AF1" w:rsidRPr="00F32AF1">
        <w:rPr>
          <w:rFonts w:eastAsia="Times New Roman"/>
          <w:szCs w:val="24"/>
        </w:rPr>
        <w:t>harmadik alkalommal elvégzett hulladékfelmérés</w:t>
      </w:r>
      <w:r w:rsidR="00F32AF1">
        <w:rPr>
          <w:rFonts w:eastAsia="Times New Roman"/>
          <w:szCs w:val="24"/>
        </w:rPr>
        <w:t xml:space="preserve"> során mintegy 300 háztartást vizsgáltak, eszerint 2021-ben </w:t>
      </w:r>
      <w:r w:rsidR="00F32AF1" w:rsidRPr="00F32AF1">
        <w:rPr>
          <w:rFonts w:eastAsia="Times New Roman"/>
          <w:szCs w:val="24"/>
        </w:rPr>
        <w:t>fejenként 25,2 kg élelmiszert</w:t>
      </w:r>
      <w:r w:rsidR="00F32AF1">
        <w:rPr>
          <w:rFonts w:eastAsia="Times New Roman"/>
          <w:szCs w:val="24"/>
        </w:rPr>
        <w:t xml:space="preserve"> dobtunk feleslegesen a szemétbe, ami jelentős javulás a 2016-os </w:t>
      </w:r>
      <w:r w:rsidR="00F32AF1" w:rsidRPr="00F32AF1">
        <w:rPr>
          <w:rFonts w:eastAsia="Times New Roman"/>
          <w:szCs w:val="24"/>
        </w:rPr>
        <w:t>65,5 kg</w:t>
      </w:r>
      <w:r w:rsidR="00F32AF1">
        <w:rPr>
          <w:rFonts w:eastAsia="Times New Roman"/>
          <w:szCs w:val="24"/>
        </w:rPr>
        <w:t>-hoz képest. Bármekkora is a tényleges pazarlás mértéke, az bizonyos, hogy több</w:t>
      </w:r>
      <w:r w:rsidR="003F7382">
        <w:rPr>
          <w:rFonts w:eastAsia="Times New Roman"/>
          <w:szCs w:val="24"/>
        </w:rPr>
        <w:t xml:space="preserve"> a kelleténél, hiszen </w:t>
      </w:r>
      <w:r w:rsidR="003F7382" w:rsidRPr="00F32AF1">
        <w:rPr>
          <w:rFonts w:eastAsia="Times New Roman"/>
          <w:szCs w:val="24"/>
        </w:rPr>
        <w:t xml:space="preserve">Magyarországon </w:t>
      </w:r>
      <w:r w:rsidR="003F7382">
        <w:rPr>
          <w:rFonts w:eastAsia="Times New Roman"/>
          <w:szCs w:val="24"/>
        </w:rPr>
        <w:t>több száz</w:t>
      </w:r>
      <w:r w:rsidR="003F7382" w:rsidRPr="00F32AF1">
        <w:rPr>
          <w:rFonts w:eastAsia="Times New Roman"/>
          <w:szCs w:val="24"/>
        </w:rPr>
        <w:t>ezer nélkülöző él, köztük több tízezer gyermek</w:t>
      </w:r>
      <w:r w:rsidR="003F7382">
        <w:rPr>
          <w:rFonts w:eastAsia="Times New Roman"/>
          <w:szCs w:val="24"/>
        </w:rPr>
        <w:t>.</w:t>
      </w:r>
    </w:p>
    <w:p w:rsidR="00E278C6" w:rsidRDefault="00E278C6">
      <w:pPr>
        <w:snapToGrid w:val="0"/>
        <w:jc w:val="both"/>
        <w:rPr>
          <w:rFonts w:eastAsia="Times New Roman"/>
          <w:szCs w:val="24"/>
        </w:rPr>
      </w:pPr>
    </w:p>
    <w:p w:rsidR="00E52118" w:rsidRDefault="00AA732B">
      <w:pPr>
        <w:snapToGrid w:val="0"/>
        <w:jc w:val="both"/>
        <w:rPr>
          <w:rFonts w:eastAsia="Times New Roman"/>
          <w:szCs w:val="24"/>
        </w:rPr>
      </w:pPr>
      <w:r w:rsidRPr="00AA732B">
        <w:rPr>
          <w:rFonts w:eastAsia="Times New Roman"/>
          <w:b/>
          <w:szCs w:val="24"/>
        </w:rPr>
        <w:t xml:space="preserve">A </w:t>
      </w:r>
      <w:r w:rsidR="00F32AF1">
        <w:rPr>
          <w:rFonts w:eastAsia="Times New Roman"/>
          <w:b/>
          <w:szCs w:val="24"/>
        </w:rPr>
        <w:t xml:space="preserve">globális, </w:t>
      </w:r>
      <w:r w:rsidRPr="00AA732B">
        <w:rPr>
          <w:rFonts w:eastAsia="Times New Roman"/>
          <w:b/>
          <w:szCs w:val="24"/>
        </w:rPr>
        <w:t xml:space="preserve">regionális </w:t>
      </w:r>
      <w:r w:rsidR="00F32AF1">
        <w:rPr>
          <w:rFonts w:eastAsia="Times New Roman"/>
          <w:b/>
          <w:szCs w:val="24"/>
        </w:rPr>
        <w:t xml:space="preserve">és országos </w:t>
      </w:r>
      <w:r w:rsidRPr="00AA732B">
        <w:rPr>
          <w:rFonts w:eastAsia="Times New Roman"/>
          <w:b/>
          <w:szCs w:val="24"/>
        </w:rPr>
        <w:t>kihívásokra léteznek hatékony lokális megoldások</w:t>
      </w:r>
      <w:r>
        <w:rPr>
          <w:rFonts w:eastAsia="Times New Roman"/>
          <w:b/>
          <w:szCs w:val="24"/>
        </w:rPr>
        <w:t>.</w:t>
      </w:r>
      <w:r w:rsidR="00E278C6">
        <w:rPr>
          <w:rFonts w:eastAsia="Times New Roman"/>
          <w:b/>
          <w:szCs w:val="24"/>
        </w:rPr>
        <w:t xml:space="preserve"> </w:t>
      </w:r>
      <w:r w:rsidR="00E278C6">
        <w:rPr>
          <w:rFonts w:eastAsia="Times New Roman"/>
          <w:szCs w:val="24"/>
        </w:rPr>
        <w:t xml:space="preserve">Fontos </w:t>
      </w:r>
      <w:r w:rsidR="00E278C6" w:rsidRPr="00E278C6">
        <w:rPr>
          <w:rFonts w:eastAsia="Times New Roman"/>
          <w:szCs w:val="24"/>
        </w:rPr>
        <w:t xml:space="preserve">figyelemfelhívás, hogy 2019. december 19-én az ENSZ Közgyűlése 2020. szeptember 29-ét az élelmiszerveszteséggel és </w:t>
      </w:r>
      <w:proofErr w:type="spellStart"/>
      <w:r w:rsidR="00E278C6" w:rsidRPr="00E278C6">
        <w:rPr>
          <w:rFonts w:eastAsia="Times New Roman"/>
          <w:szCs w:val="24"/>
        </w:rPr>
        <w:t>-pazarlással</w:t>
      </w:r>
      <w:proofErr w:type="spellEnd"/>
      <w:r w:rsidR="00E278C6" w:rsidRPr="00E278C6">
        <w:rPr>
          <w:rFonts w:eastAsia="Times New Roman"/>
          <w:szCs w:val="24"/>
        </w:rPr>
        <w:t xml:space="preserve"> kapcsola</w:t>
      </w:r>
      <w:r w:rsidR="00E278C6">
        <w:rPr>
          <w:rFonts w:eastAsia="Times New Roman"/>
          <w:szCs w:val="24"/>
        </w:rPr>
        <w:t xml:space="preserve">tos tudatosság </w:t>
      </w:r>
      <w:r w:rsidR="00E278C6" w:rsidRPr="00E278C6">
        <w:rPr>
          <w:rFonts w:eastAsia="Times New Roman"/>
          <w:szCs w:val="24"/>
        </w:rPr>
        <w:t xml:space="preserve">első </w:t>
      </w:r>
      <w:r w:rsidR="00E278C6">
        <w:rPr>
          <w:rFonts w:eastAsia="Times New Roman"/>
          <w:szCs w:val="24"/>
        </w:rPr>
        <w:t xml:space="preserve">nemzetközi napjává </w:t>
      </w:r>
      <w:r w:rsidR="00E278C6" w:rsidRPr="00E278C6">
        <w:rPr>
          <w:rFonts w:eastAsia="Times New Roman"/>
          <w:szCs w:val="24"/>
        </w:rPr>
        <w:t>nyilvánította</w:t>
      </w:r>
      <w:r w:rsidR="00E278C6">
        <w:rPr>
          <w:rFonts w:eastAsia="Times New Roman"/>
          <w:szCs w:val="24"/>
        </w:rPr>
        <w:t>, de cselekedni helyi szinten lehet.</w:t>
      </w:r>
      <w:r w:rsidR="00F32AF1">
        <w:rPr>
          <w:rFonts w:eastAsia="Times New Roman"/>
          <w:szCs w:val="24"/>
        </w:rPr>
        <w:t xml:space="preserve"> </w:t>
      </w:r>
    </w:p>
    <w:p w:rsidR="00F32AF1" w:rsidRDefault="00F32AF1">
      <w:pPr>
        <w:snapToGrid w:val="0"/>
        <w:jc w:val="both"/>
        <w:rPr>
          <w:rFonts w:eastAsia="Times New Roman"/>
          <w:szCs w:val="24"/>
        </w:rPr>
      </w:pPr>
    </w:p>
    <w:p w:rsidR="00F32AF1" w:rsidRDefault="00F32AF1" w:rsidP="00F32AF1">
      <w:pPr>
        <w:snapToGrid w:val="0"/>
        <w:jc w:val="both"/>
        <w:rPr>
          <w:rFonts w:eastAsia="Times New Roman"/>
          <w:szCs w:val="24"/>
        </w:rPr>
      </w:pPr>
      <w:r w:rsidRPr="00F32AF1">
        <w:rPr>
          <w:rFonts w:eastAsia="Times New Roman"/>
          <w:szCs w:val="24"/>
        </w:rPr>
        <w:t>A</w:t>
      </w:r>
      <w:r>
        <w:rPr>
          <w:rFonts w:eastAsia="Times New Roman"/>
          <w:szCs w:val="24"/>
        </w:rPr>
        <w:t xml:space="preserve"> cselekvés egyik főszereplője a</w:t>
      </w:r>
      <w:r w:rsidRPr="00F32AF1">
        <w:rPr>
          <w:rFonts w:eastAsia="Times New Roman"/>
          <w:szCs w:val="24"/>
        </w:rPr>
        <w:t xml:space="preserve"> 2005 óta működ</w:t>
      </w:r>
      <w:r>
        <w:rPr>
          <w:rFonts w:eastAsia="Times New Roman"/>
          <w:szCs w:val="24"/>
        </w:rPr>
        <w:t>ő</w:t>
      </w:r>
      <w:r w:rsidRPr="00F32AF1">
        <w:rPr>
          <w:rFonts w:eastAsia="Times New Roman"/>
          <w:szCs w:val="24"/>
        </w:rPr>
        <w:t xml:space="preserve"> </w:t>
      </w:r>
      <w:r w:rsidRPr="00F32AF1">
        <w:rPr>
          <w:rFonts w:eastAsia="Times New Roman"/>
          <w:b/>
          <w:szCs w:val="24"/>
        </w:rPr>
        <w:t>Magyar Élelmiszerbank Egyesület</w:t>
      </w:r>
      <w:r w:rsidRPr="00F32AF1">
        <w:rPr>
          <w:rFonts w:eastAsia="Times New Roman"/>
          <w:szCs w:val="24"/>
        </w:rPr>
        <w:t xml:space="preserve">. </w:t>
      </w:r>
      <w:r>
        <w:rPr>
          <w:rFonts w:eastAsia="Times New Roman"/>
          <w:szCs w:val="24"/>
        </w:rPr>
        <w:t xml:space="preserve">A </w:t>
      </w:r>
      <w:r w:rsidRPr="00F32AF1">
        <w:rPr>
          <w:rFonts w:eastAsia="Times New Roman"/>
          <w:szCs w:val="24"/>
        </w:rPr>
        <w:t xml:space="preserve">non-profit szervezet </w:t>
      </w:r>
      <w:r>
        <w:rPr>
          <w:rFonts w:eastAsia="Times New Roman"/>
          <w:szCs w:val="24"/>
        </w:rPr>
        <w:t>c</w:t>
      </w:r>
      <w:r w:rsidRPr="00F32AF1">
        <w:rPr>
          <w:rFonts w:eastAsia="Times New Roman"/>
          <w:szCs w:val="24"/>
        </w:rPr>
        <w:t>él</w:t>
      </w:r>
      <w:r>
        <w:rPr>
          <w:rFonts w:eastAsia="Times New Roman"/>
          <w:szCs w:val="24"/>
        </w:rPr>
        <w:t>ja</w:t>
      </w:r>
      <w:r w:rsidRPr="00F32AF1">
        <w:rPr>
          <w:rFonts w:eastAsia="Times New Roman"/>
          <w:szCs w:val="24"/>
        </w:rPr>
        <w:t xml:space="preserve">, hogy </w:t>
      </w:r>
      <w:r>
        <w:rPr>
          <w:rFonts w:eastAsia="Times New Roman"/>
          <w:szCs w:val="24"/>
        </w:rPr>
        <w:t>f</w:t>
      </w:r>
      <w:r w:rsidRPr="00F32AF1">
        <w:rPr>
          <w:rFonts w:eastAsia="Times New Roman"/>
          <w:szCs w:val="24"/>
        </w:rPr>
        <w:t>elkuta</w:t>
      </w:r>
      <w:r>
        <w:rPr>
          <w:rFonts w:eastAsia="Times New Roman"/>
          <w:szCs w:val="24"/>
        </w:rPr>
        <w:t>tassa</w:t>
      </w:r>
      <w:r w:rsidRPr="00F32AF1">
        <w:rPr>
          <w:rFonts w:eastAsia="Times New Roman"/>
          <w:szCs w:val="24"/>
        </w:rPr>
        <w:t xml:space="preserve"> és összegyűjt</w:t>
      </w:r>
      <w:r>
        <w:rPr>
          <w:rFonts w:eastAsia="Times New Roman"/>
          <w:szCs w:val="24"/>
        </w:rPr>
        <w:t>se</w:t>
      </w:r>
      <w:r w:rsidRPr="00F32AF1">
        <w:rPr>
          <w:rFonts w:eastAsia="Times New Roman"/>
          <w:szCs w:val="24"/>
        </w:rPr>
        <w:t xml:space="preserve"> az élelmiszerfeleslegeket</w:t>
      </w:r>
      <w:r>
        <w:rPr>
          <w:rFonts w:eastAsia="Times New Roman"/>
          <w:szCs w:val="24"/>
        </w:rPr>
        <w:t>,</w:t>
      </w:r>
      <w:r w:rsidRPr="00F32AF1">
        <w:rPr>
          <w:rFonts w:eastAsia="Times New Roman"/>
          <w:szCs w:val="24"/>
        </w:rPr>
        <w:t xml:space="preserve"> kapcsolatot teremts</w:t>
      </w:r>
      <w:r>
        <w:rPr>
          <w:rFonts w:eastAsia="Times New Roman"/>
          <w:szCs w:val="24"/>
        </w:rPr>
        <w:t xml:space="preserve">en a </w:t>
      </w:r>
      <w:r w:rsidRPr="00F32AF1">
        <w:rPr>
          <w:rFonts w:eastAsia="Times New Roman"/>
          <w:szCs w:val="24"/>
        </w:rPr>
        <w:t>felhalmozódó élelmiszerfeleslege</w:t>
      </w:r>
      <w:r>
        <w:rPr>
          <w:rFonts w:eastAsia="Times New Roman"/>
          <w:szCs w:val="24"/>
        </w:rPr>
        <w:t>k és az arra rászorulók között, így e</w:t>
      </w:r>
      <w:r w:rsidRPr="00F32AF1">
        <w:rPr>
          <w:rFonts w:eastAsia="Times New Roman"/>
          <w:szCs w:val="24"/>
        </w:rPr>
        <w:t>lősegít</w:t>
      </w:r>
      <w:r>
        <w:rPr>
          <w:rFonts w:eastAsia="Times New Roman"/>
          <w:szCs w:val="24"/>
        </w:rPr>
        <w:t>ve</w:t>
      </w:r>
      <w:r w:rsidRPr="00F32AF1">
        <w:rPr>
          <w:rFonts w:eastAsia="Times New Roman"/>
          <w:szCs w:val="24"/>
        </w:rPr>
        <w:t xml:space="preserve"> az élelmiszerpazarlás és a nélkülözés csökkenését Magyarországon, hozzájárulva egyben az élelmiszerek megsemmisítése okozta környezetterhelés csökkentéséhez</w:t>
      </w:r>
      <w:r w:rsidR="003F7382">
        <w:rPr>
          <w:rFonts w:eastAsia="Times New Roman"/>
          <w:szCs w:val="24"/>
        </w:rPr>
        <w:t xml:space="preserve"> – a</w:t>
      </w:r>
      <w:r w:rsidR="003F7382" w:rsidRPr="00F32AF1">
        <w:rPr>
          <w:rFonts w:eastAsia="Times New Roman"/>
          <w:szCs w:val="24"/>
        </w:rPr>
        <w:t>z Élelmiszerbank tehát egyszerre zöld- és segélyszervezet is</w:t>
      </w:r>
      <w:r w:rsidRPr="00F32AF1">
        <w:rPr>
          <w:rFonts w:eastAsia="Times New Roman"/>
          <w:szCs w:val="24"/>
        </w:rPr>
        <w:t>.</w:t>
      </w:r>
      <w:r>
        <w:rPr>
          <w:rFonts w:eastAsia="Times New Roman"/>
          <w:szCs w:val="24"/>
        </w:rPr>
        <w:t xml:space="preserve"> Víziójuk, hogy </w:t>
      </w:r>
      <w:r w:rsidRPr="00F32AF1">
        <w:rPr>
          <w:rFonts w:eastAsia="Times New Roman"/>
          <w:szCs w:val="24"/>
        </w:rPr>
        <w:t>az élelmiszerlánc szerepl</w:t>
      </w:r>
      <w:r>
        <w:rPr>
          <w:rFonts w:eastAsia="Times New Roman"/>
          <w:szCs w:val="24"/>
        </w:rPr>
        <w:t>ői a náluk képződött felesleget</w:t>
      </w:r>
      <w:r w:rsidRPr="00F32AF1">
        <w:rPr>
          <w:rFonts w:eastAsia="Times New Roman"/>
          <w:szCs w:val="24"/>
        </w:rPr>
        <w:t xml:space="preserve"> megsemmisítés helyett </w:t>
      </w:r>
      <w:r w:rsidR="003F7382">
        <w:rPr>
          <w:rFonts w:eastAsia="Times New Roman"/>
          <w:szCs w:val="24"/>
        </w:rPr>
        <w:t xml:space="preserve">teljes mértékben </w:t>
      </w:r>
      <w:r w:rsidRPr="00F32AF1">
        <w:rPr>
          <w:rFonts w:eastAsia="Times New Roman"/>
          <w:szCs w:val="24"/>
        </w:rPr>
        <w:t>rászorulók élelmezésére fordítsák.</w:t>
      </w:r>
    </w:p>
    <w:p w:rsidR="003F7382" w:rsidRDefault="003F7382" w:rsidP="00F32AF1">
      <w:pPr>
        <w:snapToGrid w:val="0"/>
        <w:jc w:val="both"/>
        <w:rPr>
          <w:rFonts w:eastAsia="Times New Roman"/>
          <w:szCs w:val="24"/>
        </w:rPr>
      </w:pPr>
    </w:p>
    <w:p w:rsidR="003F7382" w:rsidRPr="00F32AF1" w:rsidRDefault="003F7382" w:rsidP="00F32AF1">
      <w:pPr>
        <w:snapToGrid w:val="0"/>
        <w:jc w:val="both"/>
        <w:rPr>
          <w:rFonts w:eastAsia="Times New Roman"/>
          <w:szCs w:val="24"/>
        </w:rPr>
      </w:pPr>
    </w:p>
    <w:p w:rsidR="00F32AF1" w:rsidRPr="00F32AF1" w:rsidRDefault="00F32AF1" w:rsidP="00F32AF1">
      <w:pPr>
        <w:snapToGrid w:val="0"/>
        <w:jc w:val="both"/>
        <w:rPr>
          <w:rFonts w:eastAsia="Times New Roman"/>
          <w:szCs w:val="24"/>
        </w:rPr>
      </w:pPr>
      <w:r w:rsidRPr="00F32AF1">
        <w:rPr>
          <w:rFonts w:eastAsia="Times New Roman"/>
          <w:szCs w:val="24"/>
        </w:rPr>
        <w:lastRenderedPageBreak/>
        <w:t xml:space="preserve">Az Élelmiszerbank az élelmiszerfelesleget minden esetben ingyen veszi át a felajánló </w:t>
      </w:r>
      <w:r w:rsidR="006379C1">
        <w:rPr>
          <w:rFonts w:eastAsia="Times New Roman"/>
          <w:szCs w:val="24"/>
        </w:rPr>
        <w:t xml:space="preserve">szervezetektől, cégektől, </w:t>
      </w:r>
      <w:r w:rsidRPr="00F32AF1">
        <w:rPr>
          <w:rFonts w:eastAsia="Times New Roman"/>
          <w:szCs w:val="24"/>
        </w:rPr>
        <w:t>és az adományokat díjmentesen adj</w:t>
      </w:r>
      <w:r w:rsidR="006379C1">
        <w:rPr>
          <w:rFonts w:eastAsia="Times New Roman"/>
          <w:szCs w:val="24"/>
        </w:rPr>
        <w:t>a</w:t>
      </w:r>
      <w:r w:rsidRPr="00F32AF1">
        <w:rPr>
          <w:rFonts w:eastAsia="Times New Roman"/>
          <w:szCs w:val="24"/>
        </w:rPr>
        <w:t xml:space="preserve"> át partnerszervezeteinek, akik a szétosztást szintén non profit alapon valósítják meg.</w:t>
      </w:r>
      <w:r w:rsidR="006379C1">
        <w:rPr>
          <w:rFonts w:eastAsia="Times New Roman"/>
          <w:szCs w:val="24"/>
        </w:rPr>
        <w:t xml:space="preserve"> A szervezet </w:t>
      </w:r>
      <w:r w:rsidR="006379C1" w:rsidRPr="00F32AF1">
        <w:rPr>
          <w:rFonts w:eastAsia="Times New Roman"/>
          <w:szCs w:val="24"/>
        </w:rPr>
        <w:t>mind politikai,</w:t>
      </w:r>
      <w:r w:rsidR="006379C1">
        <w:rPr>
          <w:rFonts w:eastAsia="Times New Roman"/>
          <w:szCs w:val="24"/>
        </w:rPr>
        <w:t xml:space="preserve"> </w:t>
      </w:r>
      <w:r w:rsidR="006379C1" w:rsidRPr="00F32AF1">
        <w:rPr>
          <w:rFonts w:eastAsia="Times New Roman"/>
          <w:szCs w:val="24"/>
        </w:rPr>
        <w:t>mind vallási,</w:t>
      </w:r>
      <w:r w:rsidR="006379C1">
        <w:rPr>
          <w:rFonts w:eastAsia="Times New Roman"/>
          <w:szCs w:val="24"/>
        </w:rPr>
        <w:t xml:space="preserve"> </w:t>
      </w:r>
      <w:r w:rsidR="006379C1" w:rsidRPr="00F32AF1">
        <w:rPr>
          <w:rFonts w:eastAsia="Times New Roman"/>
          <w:szCs w:val="24"/>
        </w:rPr>
        <w:t xml:space="preserve">mind ideológiai értelemben </w:t>
      </w:r>
      <w:r w:rsidR="006379C1">
        <w:rPr>
          <w:rFonts w:eastAsia="Times New Roman"/>
          <w:szCs w:val="24"/>
        </w:rPr>
        <w:t>független</w:t>
      </w:r>
      <w:r w:rsidRPr="00F32AF1">
        <w:rPr>
          <w:rFonts w:eastAsia="Times New Roman"/>
          <w:szCs w:val="24"/>
        </w:rPr>
        <w:t>.</w:t>
      </w:r>
    </w:p>
    <w:p w:rsidR="00E278C6" w:rsidRDefault="00E278C6">
      <w:pPr>
        <w:snapToGrid w:val="0"/>
        <w:jc w:val="both"/>
        <w:rPr>
          <w:rFonts w:eastAsia="Times New Roman"/>
          <w:szCs w:val="24"/>
        </w:rPr>
      </w:pPr>
    </w:p>
    <w:p w:rsidR="00DB3F49" w:rsidRDefault="007C1197" w:rsidP="00DB3F49">
      <w:pPr>
        <w:snapToGrid w:val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Meggyőződésem, hogy a probléma valós, hiszen </w:t>
      </w:r>
      <w:r w:rsidRPr="00DE3B3B">
        <w:rPr>
          <w:rFonts w:eastAsia="Times New Roman"/>
          <w:b/>
          <w:szCs w:val="24"/>
        </w:rPr>
        <w:t>bölcsődéinkben és óvodáinkban, illetve a II. kerületi iskolákban naponta jelentős mennyiségű élelmiszerhulladék keletkezik</w:t>
      </w:r>
      <w:r>
        <w:rPr>
          <w:rFonts w:eastAsia="Times New Roman"/>
          <w:szCs w:val="24"/>
        </w:rPr>
        <w:t xml:space="preserve">, amelynek kezelésére az Magyar </w:t>
      </w:r>
      <w:r w:rsidRPr="00F32AF1">
        <w:rPr>
          <w:rFonts w:eastAsia="Times New Roman"/>
          <w:szCs w:val="24"/>
        </w:rPr>
        <w:t>Élelmiszerbank</w:t>
      </w:r>
      <w:r>
        <w:rPr>
          <w:rFonts w:eastAsia="Times New Roman"/>
          <w:szCs w:val="24"/>
        </w:rPr>
        <w:t xml:space="preserve"> Egyesületnél ideális partner, főleg miután ők is</w:t>
      </w:r>
      <w:r w:rsidRPr="007C1197">
        <w:rPr>
          <w:rFonts w:eastAsia="Times New Roman"/>
          <w:szCs w:val="24"/>
        </w:rPr>
        <w:t xml:space="preserve"> keresi</w:t>
      </w:r>
      <w:r>
        <w:rPr>
          <w:rFonts w:eastAsia="Times New Roman"/>
          <w:szCs w:val="24"/>
        </w:rPr>
        <w:t>k</w:t>
      </w:r>
      <w:r w:rsidRPr="007C1197">
        <w:rPr>
          <w:rFonts w:eastAsia="Times New Roman"/>
          <w:szCs w:val="24"/>
        </w:rPr>
        <w:t xml:space="preserve"> a lehetőségét annak, hogy </w:t>
      </w:r>
      <w:r>
        <w:rPr>
          <w:rFonts w:eastAsia="Times New Roman"/>
          <w:szCs w:val="24"/>
        </w:rPr>
        <w:t>a</w:t>
      </w:r>
      <w:r w:rsidRPr="007C1197">
        <w:rPr>
          <w:rFonts w:eastAsia="Times New Roman"/>
          <w:szCs w:val="24"/>
        </w:rPr>
        <w:t xml:space="preserve"> közétkeztetés területén megmaradó, a fogyasztóval még nem érintkezett ételeket milyen módon lehetne bevonni a jól működő jótékonysági újraelosztási rendszer</w:t>
      </w:r>
      <w:r w:rsidR="00FB3C4C">
        <w:rPr>
          <w:rFonts w:eastAsia="Times New Roman"/>
          <w:szCs w:val="24"/>
        </w:rPr>
        <w:t>ü</w:t>
      </w:r>
      <w:r w:rsidRPr="007C1197">
        <w:rPr>
          <w:rFonts w:eastAsia="Times New Roman"/>
          <w:szCs w:val="24"/>
        </w:rPr>
        <w:t>kbe.</w:t>
      </w:r>
      <w:r w:rsidR="00FB3C4C">
        <w:rPr>
          <w:rFonts w:eastAsia="Times New Roman"/>
          <w:szCs w:val="24"/>
        </w:rPr>
        <w:t xml:space="preserve"> </w:t>
      </w:r>
      <w:r w:rsidR="00951AA2" w:rsidRPr="00DB3F49">
        <w:rPr>
          <w:rFonts w:eastAsia="Times New Roman"/>
          <w:szCs w:val="24"/>
        </w:rPr>
        <w:t>Bár a megmaradó ételek</w:t>
      </w:r>
      <w:r w:rsidR="00951AA2">
        <w:rPr>
          <w:rFonts w:eastAsia="Times New Roman"/>
          <w:szCs w:val="24"/>
        </w:rPr>
        <w:t xml:space="preserve"> egy része visszaérkezett „tálca-</w:t>
      </w:r>
      <w:r w:rsidR="00951AA2" w:rsidRPr="00DB3F49">
        <w:rPr>
          <w:rFonts w:eastAsia="Times New Roman"/>
          <w:szCs w:val="24"/>
        </w:rPr>
        <w:t>hulladék</w:t>
      </w:r>
      <w:r w:rsidR="00951AA2">
        <w:rPr>
          <w:rFonts w:eastAsia="Times New Roman"/>
          <w:szCs w:val="24"/>
        </w:rPr>
        <w:t>”</w:t>
      </w:r>
      <w:r w:rsidR="00951AA2" w:rsidRPr="00DB3F49">
        <w:rPr>
          <w:rFonts w:eastAsia="Times New Roman"/>
          <w:szCs w:val="24"/>
        </w:rPr>
        <w:t>, ami</w:t>
      </w:r>
      <w:r w:rsidR="00951AA2">
        <w:rPr>
          <w:rFonts w:eastAsia="Times New Roman"/>
          <w:szCs w:val="24"/>
        </w:rPr>
        <w:t xml:space="preserve"> veszélyes hulladéknak minősül </w:t>
      </w:r>
      <w:r w:rsidR="00951AA2" w:rsidRPr="00DB3F49">
        <w:rPr>
          <w:rFonts w:eastAsia="Times New Roman"/>
          <w:szCs w:val="24"/>
        </w:rPr>
        <w:t>és erre szakosodott cégek szállítják el, másik része a ki nem</w:t>
      </w:r>
      <w:r w:rsidR="00951AA2">
        <w:rPr>
          <w:rFonts w:eastAsia="Times New Roman"/>
          <w:szCs w:val="24"/>
        </w:rPr>
        <w:t xml:space="preserve"> tálalt étel, ami adományozható</w:t>
      </w:r>
      <w:r w:rsidR="00951AA2" w:rsidRPr="00DB3F49">
        <w:rPr>
          <w:rFonts w:eastAsia="Times New Roman"/>
          <w:szCs w:val="24"/>
        </w:rPr>
        <w:t>.</w:t>
      </w:r>
      <w:r w:rsidR="00951AA2">
        <w:rPr>
          <w:rFonts w:eastAsia="Times New Roman"/>
          <w:szCs w:val="24"/>
        </w:rPr>
        <w:t xml:space="preserve"> </w:t>
      </w:r>
      <w:r w:rsidR="00951AA2">
        <w:rPr>
          <w:rFonts w:eastAsia="Times New Roman"/>
        </w:rPr>
        <w:t>A</w:t>
      </w:r>
      <w:r w:rsidR="00951AA2" w:rsidRPr="00DB3F49">
        <w:rPr>
          <w:rFonts w:eastAsia="Times New Roman"/>
        </w:rPr>
        <w:t xml:space="preserve"> megvalósításhoz szükséges ún. </w:t>
      </w:r>
      <w:proofErr w:type="gramStart"/>
      <w:r w:rsidR="00951AA2" w:rsidRPr="00DB3F49">
        <w:rPr>
          <w:rFonts w:eastAsia="Times New Roman"/>
        </w:rPr>
        <w:t>sokkoló</w:t>
      </w:r>
      <w:proofErr w:type="gramEnd"/>
      <w:r w:rsidR="00951AA2" w:rsidRPr="00DB3F49">
        <w:rPr>
          <w:rFonts w:eastAsia="Times New Roman"/>
        </w:rPr>
        <w:t xml:space="preserve"> hűtő</w:t>
      </w:r>
      <w:r w:rsidR="00DE3B3B">
        <w:rPr>
          <w:rFonts w:eastAsia="Times New Roman"/>
        </w:rPr>
        <w:t>(k)</w:t>
      </w:r>
      <w:r w:rsidR="00951AA2" w:rsidRPr="00DB3F49">
        <w:rPr>
          <w:rFonts w:eastAsia="Times New Roman"/>
        </w:rPr>
        <w:t xml:space="preserve"> telepítése az érintett </w:t>
      </w:r>
      <w:r w:rsidR="00951AA2">
        <w:rPr>
          <w:rFonts w:eastAsia="Times New Roman"/>
        </w:rPr>
        <w:t>intézmény</w:t>
      </w:r>
      <w:r w:rsidR="00DE3B3B">
        <w:rPr>
          <w:rFonts w:eastAsia="Times New Roman"/>
        </w:rPr>
        <w:t>(</w:t>
      </w:r>
      <w:proofErr w:type="spellStart"/>
      <w:r w:rsidR="00951AA2">
        <w:rPr>
          <w:rFonts w:eastAsia="Times New Roman"/>
        </w:rPr>
        <w:t>ek</w:t>
      </w:r>
      <w:proofErr w:type="spellEnd"/>
      <w:r w:rsidR="00DE3B3B">
        <w:rPr>
          <w:rFonts w:eastAsia="Times New Roman"/>
        </w:rPr>
        <w:t>)</w:t>
      </w:r>
      <w:r w:rsidR="00951AA2">
        <w:rPr>
          <w:rFonts w:eastAsia="Times New Roman"/>
        </w:rPr>
        <w:t xml:space="preserve">be, </w:t>
      </w:r>
      <w:r w:rsidR="00951AA2" w:rsidRPr="00DB3F49">
        <w:rPr>
          <w:rFonts w:eastAsia="Times New Roman"/>
        </w:rPr>
        <w:t>mely</w:t>
      </w:r>
      <w:r w:rsidR="00DE3B3B">
        <w:rPr>
          <w:rFonts w:eastAsia="Times New Roman"/>
        </w:rPr>
        <w:t>(</w:t>
      </w:r>
      <w:proofErr w:type="spellStart"/>
      <w:r w:rsidR="00951AA2" w:rsidRPr="00DB3F49">
        <w:rPr>
          <w:rFonts w:eastAsia="Times New Roman"/>
        </w:rPr>
        <w:t>ek</w:t>
      </w:r>
      <w:proofErr w:type="spellEnd"/>
      <w:r w:rsidR="00DE3B3B">
        <w:rPr>
          <w:rFonts w:eastAsia="Times New Roman"/>
        </w:rPr>
        <w:t>)</w:t>
      </w:r>
      <w:r w:rsidR="00951AA2" w:rsidRPr="00DB3F49">
        <w:rPr>
          <w:rFonts w:eastAsia="Times New Roman"/>
        </w:rPr>
        <w:t xml:space="preserve"> beszerzéséhez az Élelmiszerbank rendelkezik megfelelő forrásokkal.</w:t>
      </w:r>
    </w:p>
    <w:p w:rsidR="00DB3F49" w:rsidRDefault="00DB3F49" w:rsidP="00DB3F49">
      <w:pPr>
        <w:snapToGrid w:val="0"/>
        <w:jc w:val="both"/>
        <w:rPr>
          <w:rFonts w:eastAsia="Times New Roman"/>
          <w:szCs w:val="24"/>
        </w:rPr>
      </w:pPr>
    </w:p>
    <w:p w:rsidR="00DB3F49" w:rsidRDefault="00DB3F49" w:rsidP="00DB3F49">
      <w:pPr>
        <w:snapToGrid w:val="0"/>
        <w:jc w:val="both"/>
        <w:rPr>
          <w:rFonts w:eastAsia="Times New Roman"/>
        </w:rPr>
      </w:pPr>
      <w:r w:rsidRPr="00DB3F49">
        <w:rPr>
          <w:rFonts w:eastAsia="Times New Roman"/>
        </w:rPr>
        <w:t xml:space="preserve">A még fogyasztható készételek megmentésének és nélkülözőkhöz történő eljuttatásának korlátja eddig az volt, hogy hiányzott az ehhez szükséges módszertani útmutató, melyet a közelmúltban az Élelmiszerbank a </w:t>
      </w:r>
      <w:proofErr w:type="spellStart"/>
      <w:r w:rsidRPr="00DB3F49">
        <w:rPr>
          <w:rFonts w:eastAsia="Times New Roman"/>
        </w:rPr>
        <w:t>N</w:t>
      </w:r>
      <w:r>
        <w:rPr>
          <w:rFonts w:eastAsia="Times New Roman"/>
        </w:rPr>
        <w:t>ébih</w:t>
      </w:r>
      <w:r w:rsidRPr="00DB3F49">
        <w:rPr>
          <w:rFonts w:eastAsia="Times New Roman"/>
        </w:rPr>
        <w:t>-hel</w:t>
      </w:r>
      <w:proofErr w:type="spellEnd"/>
      <w:r w:rsidRPr="00DB3F49">
        <w:rPr>
          <w:rFonts w:eastAsia="Times New Roman"/>
        </w:rPr>
        <w:t xml:space="preserve"> együttműködve, az Élelmiszer Érték Fórum égisze alatt közzétett.</w:t>
      </w:r>
      <w:r>
        <w:rPr>
          <w:rFonts w:eastAsia="Times New Roman"/>
        </w:rPr>
        <w:t xml:space="preserve"> A </w:t>
      </w:r>
      <w:r w:rsidRPr="00DB3F49">
        <w:rPr>
          <w:rFonts w:eastAsia="Times New Roman"/>
        </w:rPr>
        <w:t>Budapest Főváros Önkormányzatának Étkeztetési Szolgáltató Gazdasági</w:t>
      </w:r>
      <w:r>
        <w:rPr>
          <w:rFonts w:eastAsia="Times New Roman"/>
        </w:rPr>
        <w:t xml:space="preserve"> Szervezetével közös pilot projektjük </w:t>
      </w:r>
      <w:r w:rsidRPr="00DB3F49">
        <w:rPr>
          <w:rFonts w:eastAsia="Times New Roman"/>
        </w:rPr>
        <w:t xml:space="preserve">egy </w:t>
      </w:r>
      <w:r>
        <w:rPr>
          <w:rFonts w:eastAsia="Times New Roman"/>
        </w:rPr>
        <w:t xml:space="preserve">budapesti </w:t>
      </w:r>
      <w:r w:rsidRPr="00DB3F49">
        <w:rPr>
          <w:rFonts w:eastAsia="Times New Roman"/>
        </w:rPr>
        <w:t xml:space="preserve">általános iskola és egy családok átmeneti otthona részvételével </w:t>
      </w:r>
      <w:r>
        <w:rPr>
          <w:rFonts w:eastAsia="Times New Roman"/>
        </w:rPr>
        <w:t>2023. tavaszán</w:t>
      </w:r>
      <w:r w:rsidRPr="00DB3F49">
        <w:rPr>
          <w:rFonts w:eastAsia="Times New Roman"/>
        </w:rPr>
        <w:t xml:space="preserve"> sikeresen lezajlott, </w:t>
      </w:r>
      <w:r>
        <w:rPr>
          <w:rFonts w:eastAsia="Times New Roman"/>
        </w:rPr>
        <w:t>ősztől t</w:t>
      </w:r>
      <w:r w:rsidRPr="00DB3F49">
        <w:rPr>
          <w:rFonts w:eastAsia="Times New Roman"/>
        </w:rPr>
        <w:t>öbb más iskolában indulhat</w:t>
      </w:r>
      <w:r>
        <w:rPr>
          <w:rFonts w:eastAsia="Times New Roman"/>
        </w:rPr>
        <w:t>t</w:t>
      </w:r>
      <w:r w:rsidRPr="00DB3F49">
        <w:rPr>
          <w:rFonts w:eastAsia="Times New Roman"/>
        </w:rPr>
        <w:t xml:space="preserve">ak el hasonló kezdeményezések, ezzel hozzájárulva az élelmiszerpazarlás mértékének csökkentéséhez, egyúttal </w:t>
      </w:r>
      <w:r w:rsidRPr="00DE3B3B">
        <w:rPr>
          <w:rFonts w:eastAsia="Times New Roman"/>
          <w:b/>
        </w:rPr>
        <w:t>nélkülöző családok egészséges ételekkel</w:t>
      </w:r>
      <w:r w:rsidR="00951AA2" w:rsidRPr="00DE3B3B">
        <w:rPr>
          <w:rFonts w:eastAsia="Times New Roman"/>
          <w:b/>
        </w:rPr>
        <w:t xml:space="preserve"> történő rendszeres ellátásához</w:t>
      </w:r>
      <w:r w:rsidR="00951AA2">
        <w:rPr>
          <w:rFonts w:eastAsia="Times New Roman"/>
        </w:rPr>
        <w:t>, reményeink szerint a II. kerületben is.</w:t>
      </w:r>
    </w:p>
    <w:p w:rsidR="007C1197" w:rsidRDefault="007C1197">
      <w:pPr>
        <w:snapToGrid w:val="0"/>
        <w:jc w:val="both"/>
        <w:rPr>
          <w:rFonts w:eastAsia="Times New Roman"/>
          <w:szCs w:val="24"/>
        </w:rPr>
      </w:pPr>
    </w:p>
    <w:p w:rsidR="00B07C88" w:rsidRPr="00DE3B3B" w:rsidRDefault="002A37EA" w:rsidP="00B07C88">
      <w:pPr>
        <w:snapToGrid w:val="0"/>
        <w:jc w:val="both"/>
        <w:rPr>
          <w:rFonts w:eastAsia="Times New Roman"/>
          <w:szCs w:val="24"/>
          <w:u w:val="single"/>
        </w:rPr>
      </w:pPr>
      <w:r w:rsidRPr="00DE3B3B">
        <w:rPr>
          <w:rFonts w:eastAsia="Times New Roman"/>
          <w:szCs w:val="24"/>
          <w:u w:val="single"/>
        </w:rPr>
        <w:t>Közétkeztetés által érintett intézményeinkkel egyeztetve megállapítás</w:t>
      </w:r>
      <w:r w:rsidR="00DE3B3B" w:rsidRPr="00DE3B3B">
        <w:rPr>
          <w:rFonts w:eastAsia="Times New Roman"/>
          <w:szCs w:val="24"/>
          <w:u w:val="single"/>
        </w:rPr>
        <w:t>aink</w:t>
      </w:r>
      <w:r w:rsidRPr="00DE3B3B">
        <w:rPr>
          <w:rFonts w:eastAsia="Times New Roman"/>
          <w:szCs w:val="24"/>
          <w:u w:val="single"/>
        </w:rPr>
        <w:t xml:space="preserve"> a következő</w:t>
      </w:r>
      <w:r w:rsidR="00DE3B3B" w:rsidRPr="00DE3B3B">
        <w:rPr>
          <w:rFonts w:eastAsia="Times New Roman"/>
          <w:szCs w:val="24"/>
          <w:u w:val="single"/>
        </w:rPr>
        <w:t>k</w:t>
      </w:r>
      <w:r w:rsidRPr="00DE3B3B">
        <w:rPr>
          <w:rFonts w:eastAsia="Times New Roman"/>
          <w:szCs w:val="24"/>
          <w:u w:val="single"/>
        </w:rPr>
        <w:t>:</w:t>
      </w:r>
    </w:p>
    <w:p w:rsidR="002A37EA" w:rsidRDefault="002A37EA" w:rsidP="002A37EA">
      <w:pPr>
        <w:pStyle w:val="Listaszerbekezds"/>
        <w:numPr>
          <w:ilvl w:val="0"/>
          <w:numId w:val="7"/>
        </w:numPr>
        <w:snapToGrid w:val="0"/>
        <w:ind w:left="426" w:hanging="284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bölcsődékben szinte semmilyen </w:t>
      </w:r>
      <w:r w:rsidRPr="00B07C88">
        <w:rPr>
          <w:rFonts w:eastAsia="Times New Roman"/>
          <w:szCs w:val="24"/>
        </w:rPr>
        <w:t xml:space="preserve">maradék nem keletkezik, </w:t>
      </w:r>
      <w:r>
        <w:rPr>
          <w:rFonts w:eastAsia="Times New Roman"/>
          <w:szCs w:val="24"/>
        </w:rPr>
        <w:t>m</w:t>
      </w:r>
      <w:r w:rsidRPr="00B07C88">
        <w:rPr>
          <w:rFonts w:eastAsia="Times New Roman"/>
          <w:szCs w:val="24"/>
        </w:rPr>
        <w:t xml:space="preserve">ég az </w:t>
      </w:r>
      <w:r>
        <w:rPr>
          <w:rFonts w:eastAsia="Times New Roman"/>
          <w:szCs w:val="24"/>
        </w:rPr>
        <w:t xml:space="preserve">adott </w:t>
      </w:r>
      <w:r w:rsidRPr="00B07C88">
        <w:rPr>
          <w:rFonts w:eastAsia="Times New Roman"/>
          <w:szCs w:val="24"/>
        </w:rPr>
        <w:t>nap reggeli lemondást is kezelni tud</w:t>
      </w:r>
      <w:r>
        <w:rPr>
          <w:rFonts w:eastAsia="Times New Roman"/>
          <w:szCs w:val="24"/>
        </w:rPr>
        <w:t>j</w:t>
      </w:r>
      <w:r w:rsidR="00E671D8">
        <w:rPr>
          <w:rFonts w:eastAsia="Times New Roman"/>
          <w:szCs w:val="24"/>
        </w:rPr>
        <w:t>á</w:t>
      </w:r>
      <w:r>
        <w:rPr>
          <w:rFonts w:eastAsia="Times New Roman"/>
          <w:szCs w:val="24"/>
        </w:rPr>
        <w:t>k, hiszen helyben főznek;</w:t>
      </w:r>
    </w:p>
    <w:p w:rsidR="002A37EA" w:rsidRDefault="002A37EA" w:rsidP="002A37EA">
      <w:pPr>
        <w:pStyle w:val="Listaszerbekezds"/>
        <w:numPr>
          <w:ilvl w:val="0"/>
          <w:numId w:val="7"/>
        </w:numPr>
        <w:snapToGrid w:val="0"/>
        <w:ind w:left="426" w:hanging="284"/>
        <w:jc w:val="both"/>
        <w:rPr>
          <w:rFonts w:eastAsia="Times New Roman"/>
          <w:szCs w:val="24"/>
        </w:rPr>
      </w:pPr>
      <w:r w:rsidRPr="00B07C88">
        <w:rPr>
          <w:rFonts w:eastAsia="Times New Roman"/>
          <w:szCs w:val="24"/>
        </w:rPr>
        <w:t>szociális int</w:t>
      </w:r>
      <w:r>
        <w:rPr>
          <w:rFonts w:eastAsia="Times New Roman"/>
          <w:szCs w:val="24"/>
        </w:rPr>
        <w:t xml:space="preserve">ézményekben érdemi </w:t>
      </w:r>
      <w:r w:rsidRPr="00B07C88">
        <w:rPr>
          <w:rFonts w:eastAsia="Times New Roman"/>
          <w:szCs w:val="24"/>
        </w:rPr>
        <w:t>maradék nem keletkezik</w:t>
      </w:r>
      <w:r>
        <w:rPr>
          <w:rFonts w:eastAsia="Times New Roman"/>
          <w:szCs w:val="24"/>
        </w:rPr>
        <w:t>,</w:t>
      </w:r>
      <w:r w:rsidRPr="00B07C88">
        <w:rPr>
          <w:rFonts w:eastAsia="Times New Roman"/>
          <w:szCs w:val="24"/>
        </w:rPr>
        <w:t xml:space="preserve"> nagyon kevés</w:t>
      </w:r>
      <w:r>
        <w:rPr>
          <w:rFonts w:eastAsia="Times New Roman"/>
          <w:szCs w:val="24"/>
        </w:rPr>
        <w:t xml:space="preserve"> a helyben étkező </w:t>
      </w:r>
      <w:r w:rsidRPr="00B07C88">
        <w:rPr>
          <w:rFonts w:eastAsia="Times New Roman"/>
          <w:szCs w:val="24"/>
        </w:rPr>
        <w:t xml:space="preserve">gondozott, </w:t>
      </w:r>
      <w:r>
        <w:rPr>
          <w:rFonts w:eastAsia="Times New Roman"/>
          <w:szCs w:val="24"/>
        </w:rPr>
        <w:t xml:space="preserve">a </w:t>
      </w:r>
      <w:r w:rsidRPr="00B07C88">
        <w:rPr>
          <w:rFonts w:eastAsia="Times New Roman"/>
          <w:szCs w:val="24"/>
        </w:rPr>
        <w:t>többség elviszi csomagolva</w:t>
      </w:r>
      <w:r>
        <w:rPr>
          <w:rFonts w:eastAsia="Times New Roman"/>
          <w:szCs w:val="24"/>
        </w:rPr>
        <w:t>;</w:t>
      </w:r>
    </w:p>
    <w:p w:rsidR="002A37EA" w:rsidRDefault="002A37EA" w:rsidP="002A37EA">
      <w:pPr>
        <w:pStyle w:val="Listaszerbekezds"/>
        <w:numPr>
          <w:ilvl w:val="0"/>
          <w:numId w:val="7"/>
        </w:numPr>
        <w:snapToGrid w:val="0"/>
        <w:ind w:left="426" w:hanging="284"/>
        <w:jc w:val="both"/>
        <w:rPr>
          <w:rFonts w:eastAsia="Times New Roman"/>
          <w:szCs w:val="24"/>
        </w:rPr>
      </w:pPr>
      <w:r w:rsidRPr="00B07C88">
        <w:rPr>
          <w:rFonts w:eastAsia="Times New Roman"/>
          <w:szCs w:val="24"/>
        </w:rPr>
        <w:t>az óvodák és iskolák esetében van számottevő mennyiség</w:t>
      </w:r>
      <w:r>
        <w:rPr>
          <w:rFonts w:eastAsia="Times New Roman"/>
          <w:szCs w:val="24"/>
        </w:rPr>
        <w:t xml:space="preserve">ű maradék: a </w:t>
      </w:r>
      <w:r w:rsidRPr="002A37EA">
        <w:rPr>
          <w:rFonts w:eastAsia="Times New Roman"/>
          <w:szCs w:val="24"/>
        </w:rPr>
        <w:t>II. Kerületi Városfejlesztő Zrt.</w:t>
      </w:r>
      <w:r>
        <w:rPr>
          <w:rFonts w:eastAsia="Times New Roman"/>
          <w:szCs w:val="24"/>
        </w:rPr>
        <w:t xml:space="preserve"> által közölt </w:t>
      </w:r>
      <w:r w:rsidRPr="00B07C88">
        <w:rPr>
          <w:rFonts w:eastAsia="Times New Roman"/>
          <w:szCs w:val="24"/>
        </w:rPr>
        <w:t>megrendelt</w:t>
      </w:r>
      <w:r>
        <w:rPr>
          <w:rFonts w:eastAsia="Times New Roman"/>
          <w:szCs w:val="24"/>
        </w:rPr>
        <w:t xml:space="preserve">, és a Humánszolgáltatási Igazgatóság rendelkezésére álló, a </w:t>
      </w:r>
      <w:r w:rsidRPr="00B07C88">
        <w:rPr>
          <w:rFonts w:eastAsia="Times New Roman"/>
          <w:szCs w:val="24"/>
        </w:rPr>
        <w:t xml:space="preserve">normatív elszámoláshoz </w:t>
      </w:r>
      <w:r>
        <w:rPr>
          <w:rFonts w:eastAsia="Times New Roman"/>
          <w:szCs w:val="24"/>
        </w:rPr>
        <w:t xml:space="preserve">bekért ténylegesen </w:t>
      </w:r>
      <w:r w:rsidRPr="00B07C88">
        <w:rPr>
          <w:rFonts w:eastAsia="Times New Roman"/>
          <w:szCs w:val="24"/>
        </w:rPr>
        <w:t>igénybevett adat</w:t>
      </w:r>
      <w:r>
        <w:rPr>
          <w:rFonts w:eastAsia="Times New Roman"/>
          <w:szCs w:val="24"/>
        </w:rPr>
        <w:t xml:space="preserve"> között mintegy </w:t>
      </w:r>
      <w:r w:rsidRPr="00B07C88">
        <w:rPr>
          <w:rFonts w:eastAsia="Times New Roman"/>
          <w:szCs w:val="24"/>
        </w:rPr>
        <w:t>10 %</w:t>
      </w:r>
      <w:r>
        <w:rPr>
          <w:rFonts w:eastAsia="Times New Roman"/>
          <w:szCs w:val="24"/>
        </w:rPr>
        <w:t xml:space="preserve"> különbség van, ami az alábbi, három kiválasztott hónap esetében jelentős</w:t>
      </w:r>
      <w:r w:rsidR="00DE3B3B">
        <w:rPr>
          <w:rFonts w:eastAsia="Times New Roman"/>
          <w:szCs w:val="24"/>
        </w:rPr>
        <w:t xml:space="preserve"> felhasználható potenciált jelent (és ami eddig</w:t>
      </w:r>
      <w:r>
        <w:rPr>
          <w:rFonts w:eastAsia="Times New Roman"/>
          <w:szCs w:val="24"/>
        </w:rPr>
        <w:t xml:space="preserve"> hulladékként</w:t>
      </w:r>
      <w:r w:rsidR="00DE3B3B">
        <w:rPr>
          <w:rFonts w:eastAsia="Times New Roman"/>
          <w:szCs w:val="24"/>
        </w:rPr>
        <w:t xml:space="preserve"> végezte)</w:t>
      </w:r>
    </w:p>
    <w:p w:rsidR="00DE3B3B" w:rsidRDefault="00DE3B3B" w:rsidP="00DE3B3B">
      <w:pPr>
        <w:pStyle w:val="Listaszerbekezds"/>
        <w:snapToGrid w:val="0"/>
        <w:ind w:left="426"/>
        <w:jc w:val="both"/>
        <w:rPr>
          <w:rFonts w:eastAsia="Times New Roman"/>
          <w:szCs w:val="24"/>
        </w:rPr>
      </w:pPr>
    </w:p>
    <w:tbl>
      <w:tblPr>
        <w:tblW w:w="8505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1985"/>
        <w:gridCol w:w="2268"/>
      </w:tblGrid>
      <w:tr w:rsidR="00DE3B3B" w:rsidRPr="00DE3B3B" w:rsidTr="00DE3B3B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B3B" w:rsidRPr="00DE3B3B" w:rsidRDefault="00DE3B3B" w:rsidP="00DE3B3B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DE3B3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hu-HU"/>
              </w:rPr>
              <w:t>Intézmény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B3B" w:rsidRPr="00DE3B3B" w:rsidRDefault="00DE3B3B" w:rsidP="00DE3B3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DE3B3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hu-HU"/>
              </w:rPr>
              <w:t>2023. április (adag)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B3B" w:rsidRPr="00DE3B3B" w:rsidRDefault="00DE3B3B" w:rsidP="00DE3B3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DE3B3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hu-HU"/>
              </w:rPr>
              <w:t>2023. május (adag)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B3B" w:rsidRPr="00DE3B3B" w:rsidRDefault="00DE3B3B" w:rsidP="00DE3B3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DE3B3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hu-HU"/>
              </w:rPr>
              <w:t>2023. október (adag)</w:t>
            </w:r>
          </w:p>
        </w:tc>
      </w:tr>
      <w:tr w:rsidR="00DE3B3B" w:rsidRPr="00DE3B3B" w:rsidTr="00DE3B3B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B3B" w:rsidRPr="00DE3B3B" w:rsidRDefault="00DE3B3B" w:rsidP="00DE3B3B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 w:rsidRPr="00DE3B3B"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Óvodák (18)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B3B" w:rsidRPr="00DE3B3B" w:rsidRDefault="00DE3B3B" w:rsidP="00DE3B3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 w:rsidRPr="00DE3B3B"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25 276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B3B" w:rsidRPr="00DE3B3B" w:rsidRDefault="00DE3B3B" w:rsidP="00DE3B3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 w:rsidRPr="00DE3B3B"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32 945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B3B" w:rsidRPr="00DE3B3B" w:rsidRDefault="00DE3B3B" w:rsidP="00DE3B3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 w:rsidRPr="00DE3B3B"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32 633</w:t>
            </w:r>
          </w:p>
        </w:tc>
      </w:tr>
      <w:tr w:rsidR="00DE3B3B" w:rsidRPr="00DE3B3B" w:rsidTr="00DE3B3B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B3B" w:rsidRPr="00DE3B3B" w:rsidRDefault="00DE3B3B" w:rsidP="00DE3B3B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 w:rsidRPr="00DE3B3B"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Iskolák (15)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B3B" w:rsidRPr="00DE3B3B" w:rsidRDefault="00DE3B3B" w:rsidP="00DE3B3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 w:rsidRPr="00DE3B3B"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67 484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B3B" w:rsidRPr="00DE3B3B" w:rsidRDefault="00DE3B3B" w:rsidP="00DE3B3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 w:rsidRPr="00DE3B3B"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84 947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B3B" w:rsidRPr="00DE3B3B" w:rsidRDefault="00DE3B3B" w:rsidP="00DE3B3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 w:rsidRPr="00DE3B3B"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88 695</w:t>
            </w:r>
          </w:p>
        </w:tc>
      </w:tr>
      <w:tr w:rsidR="00DE3B3B" w:rsidRPr="00DE3B3B" w:rsidTr="00DE3B3B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B3B" w:rsidRPr="00DE3B3B" w:rsidRDefault="00DE3B3B" w:rsidP="00DE3B3B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 w:rsidRPr="00DE3B3B"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Összesen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B3B" w:rsidRPr="00DE3B3B" w:rsidRDefault="00DE3B3B" w:rsidP="00DE3B3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 w:rsidRPr="00DE3B3B"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92 760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B3B" w:rsidRPr="00DE3B3B" w:rsidRDefault="00DE3B3B" w:rsidP="00DE3B3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 w:rsidRPr="00DE3B3B"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117 892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B3B" w:rsidRPr="00DE3B3B" w:rsidRDefault="00DE3B3B" w:rsidP="00DE3B3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 w:rsidRPr="00DE3B3B"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121 328</w:t>
            </w:r>
          </w:p>
        </w:tc>
      </w:tr>
      <w:tr w:rsidR="00DE3B3B" w:rsidRPr="00DE3B3B" w:rsidTr="00DE3B3B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3B" w:rsidRPr="00DE3B3B" w:rsidRDefault="00DE3B3B" w:rsidP="00DE3B3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 w:rsidRPr="00DE3B3B"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10% maradék esetén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3B" w:rsidRPr="00DE3B3B" w:rsidRDefault="00DE3B3B" w:rsidP="00DE3B3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 w:rsidRPr="00DE3B3B"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9 276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3B" w:rsidRPr="00DE3B3B" w:rsidRDefault="00DE3B3B" w:rsidP="00DE3B3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 w:rsidRPr="00DE3B3B"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11 789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3B" w:rsidRPr="00DE3B3B" w:rsidRDefault="00DE3B3B" w:rsidP="00DE3B3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 w:rsidRPr="00DE3B3B"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12 133</w:t>
            </w:r>
          </w:p>
        </w:tc>
      </w:tr>
      <w:tr w:rsidR="00DE3B3B" w:rsidRPr="00DE3B3B" w:rsidTr="00DE3B3B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3B" w:rsidRPr="00DE3B3B" w:rsidRDefault="00DE3B3B" w:rsidP="00DE3B3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 w:rsidRPr="00DE3B3B"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5% maradék esetén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3B" w:rsidRPr="00DE3B3B" w:rsidRDefault="00DE3B3B" w:rsidP="00DE3B3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 w:rsidRPr="00DE3B3B"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4 638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3B" w:rsidRPr="00DE3B3B" w:rsidRDefault="00DE3B3B" w:rsidP="00DE3B3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 w:rsidRPr="00DE3B3B"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5 895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3B" w:rsidRPr="00DE3B3B" w:rsidRDefault="00DE3B3B" w:rsidP="00DE3B3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 w:rsidRPr="00DE3B3B"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6 066</w:t>
            </w:r>
          </w:p>
        </w:tc>
      </w:tr>
    </w:tbl>
    <w:p w:rsidR="00B07C88" w:rsidRDefault="00B07C88">
      <w:pPr>
        <w:snapToGrid w:val="0"/>
        <w:jc w:val="both"/>
        <w:rPr>
          <w:rFonts w:eastAsia="Times New Roman"/>
          <w:szCs w:val="24"/>
        </w:rPr>
      </w:pPr>
    </w:p>
    <w:p w:rsidR="007C1197" w:rsidRDefault="007C1197">
      <w:pPr>
        <w:snapToGrid w:val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Az </w:t>
      </w:r>
      <w:r w:rsidRPr="006379C1">
        <w:rPr>
          <w:rFonts w:eastAsia="Times New Roman"/>
        </w:rPr>
        <w:t>együttműködési megállapodás</w:t>
      </w:r>
      <w:r>
        <w:rPr>
          <w:rFonts w:eastAsia="Times New Roman"/>
        </w:rPr>
        <w:t xml:space="preserve"> megkötését követően közösen</w:t>
      </w:r>
      <w:r w:rsidR="00DE3B3B">
        <w:rPr>
          <w:rFonts w:eastAsia="Times New Roman"/>
        </w:rPr>
        <w:t>, még a fentieknél is pontosabban</w:t>
      </w:r>
      <w:r>
        <w:rPr>
          <w:rFonts w:eastAsia="Times New Roman"/>
        </w:rPr>
        <w:t xml:space="preserve"> felmérnénk, hogy mely intézményben közelítő pontossággal milyen mennyiségekkel lehet számolni, majd a </w:t>
      </w:r>
      <w:r w:rsidR="00DB3F49">
        <w:rPr>
          <w:rFonts w:eastAsia="Times New Roman"/>
        </w:rPr>
        <w:t>logisztikai és egyéb feladatokat meghatározva indíthatjuk el a kerületi élelmiszermentést</w:t>
      </w:r>
      <w:r w:rsidR="00F8603E">
        <w:rPr>
          <w:rFonts w:eastAsia="Times New Roman"/>
        </w:rPr>
        <w:t>, próba üzemmódban, néhány intézményünkben</w:t>
      </w:r>
      <w:r w:rsidR="00DB3F49">
        <w:rPr>
          <w:rFonts w:eastAsia="Times New Roman"/>
        </w:rPr>
        <w:t>.</w:t>
      </w:r>
    </w:p>
    <w:p w:rsidR="007C1197" w:rsidRDefault="007C1197">
      <w:pPr>
        <w:snapToGrid w:val="0"/>
        <w:jc w:val="both"/>
        <w:rPr>
          <w:rFonts w:eastAsia="Times New Roman"/>
          <w:szCs w:val="24"/>
        </w:rPr>
      </w:pPr>
    </w:p>
    <w:p w:rsidR="00AD4418" w:rsidRDefault="00AD4418" w:rsidP="004D2E28">
      <w:pPr>
        <w:snapToGrid w:val="0"/>
        <w:jc w:val="both"/>
        <w:rPr>
          <w:rFonts w:eastAsia="Times New Roman"/>
          <w:szCs w:val="24"/>
        </w:rPr>
      </w:pPr>
      <w:r w:rsidRPr="00AD4418">
        <w:rPr>
          <w:rFonts w:eastAsia="Times New Roman"/>
          <w:szCs w:val="24"/>
        </w:rPr>
        <w:t>Fentiekre tekintettel ké</w:t>
      </w:r>
      <w:r>
        <w:rPr>
          <w:rFonts w:eastAsia="Times New Roman"/>
          <w:szCs w:val="24"/>
        </w:rPr>
        <w:t xml:space="preserve">rem a T. Képviselő-testületet </w:t>
      </w:r>
      <w:r>
        <w:rPr>
          <w:rFonts w:eastAsia="Times New Roman"/>
        </w:rPr>
        <w:t xml:space="preserve">az előterjesztésben foglaltak megtárgyalására, </w:t>
      </w:r>
      <w:r w:rsidR="006379C1">
        <w:rPr>
          <w:rFonts w:eastAsia="Times New Roman"/>
        </w:rPr>
        <w:t>illetve a</w:t>
      </w:r>
      <w:r w:rsidR="006379C1" w:rsidRPr="006379C1">
        <w:rPr>
          <w:rFonts w:eastAsia="Times New Roman"/>
        </w:rPr>
        <w:t>z együttműködési megállapodás</w:t>
      </w:r>
      <w:r w:rsidR="006379C1">
        <w:rPr>
          <w:rFonts w:eastAsia="Times New Roman"/>
        </w:rPr>
        <w:t xml:space="preserve"> megkötésének támogatására, </w:t>
      </w:r>
      <w:r>
        <w:rPr>
          <w:rFonts w:eastAsia="Times New Roman"/>
        </w:rPr>
        <w:t>a</w:t>
      </w:r>
      <w:r w:rsidRPr="00AD4418">
        <w:rPr>
          <w:rFonts w:eastAsia="Times New Roman"/>
          <w:szCs w:val="24"/>
        </w:rPr>
        <w:t xml:space="preserve"> határozati javaslat elfogadására.</w:t>
      </w:r>
    </w:p>
    <w:p w:rsidR="00C65BCA" w:rsidRDefault="00C65BCA">
      <w:pPr>
        <w:snapToGrid w:val="0"/>
        <w:jc w:val="both"/>
        <w:rPr>
          <w:szCs w:val="24"/>
        </w:rPr>
      </w:pPr>
    </w:p>
    <w:p w:rsidR="001842EB" w:rsidRDefault="001842EB">
      <w:pPr>
        <w:snapToGrid w:val="0"/>
        <w:jc w:val="both"/>
        <w:rPr>
          <w:szCs w:val="24"/>
        </w:rPr>
      </w:pPr>
    </w:p>
    <w:p w:rsidR="008D2F5E" w:rsidRDefault="006379C1">
      <w:pPr>
        <w:snapToGrid w:val="0"/>
        <w:jc w:val="center"/>
      </w:pPr>
      <w:r>
        <w:rPr>
          <w:b/>
          <w:color w:val="000000"/>
        </w:rPr>
        <w:t>Határozati javaslat</w:t>
      </w:r>
    </w:p>
    <w:p w:rsidR="001842EB" w:rsidRDefault="001842EB">
      <w:pPr>
        <w:jc w:val="both"/>
        <w:rPr>
          <w:rFonts w:eastAsia="Times New Roman"/>
          <w:color w:val="000000"/>
          <w:szCs w:val="24"/>
          <w:lang w:eastAsia="ar-SA"/>
        </w:rPr>
      </w:pPr>
    </w:p>
    <w:p w:rsidR="00DE3B3B" w:rsidRDefault="00DE3B3B">
      <w:pPr>
        <w:jc w:val="both"/>
        <w:rPr>
          <w:rFonts w:eastAsia="Times New Roman"/>
          <w:color w:val="000000"/>
          <w:szCs w:val="24"/>
          <w:lang w:eastAsia="ar-SA"/>
        </w:rPr>
      </w:pPr>
    </w:p>
    <w:p w:rsidR="006379C1" w:rsidRDefault="006379C1">
      <w:pPr>
        <w:jc w:val="both"/>
        <w:rPr>
          <w:szCs w:val="24"/>
        </w:rPr>
      </w:pPr>
      <w:r w:rsidRPr="0075266A">
        <w:rPr>
          <w:szCs w:val="24"/>
        </w:rPr>
        <w:t>A Képviselő-testület felhatalmazza a Polgármestert a Budapest Fő</w:t>
      </w:r>
      <w:r>
        <w:rPr>
          <w:szCs w:val="24"/>
        </w:rPr>
        <w:t xml:space="preserve">város II. Kerületi Önkormányzat, valamint a </w:t>
      </w:r>
      <w:r w:rsidRPr="006379C1">
        <w:rPr>
          <w:szCs w:val="24"/>
        </w:rPr>
        <w:t xml:space="preserve">Magyar Élelmiszerbank Egyesület </w:t>
      </w:r>
      <w:r w:rsidRPr="0075266A">
        <w:rPr>
          <w:szCs w:val="24"/>
        </w:rPr>
        <w:t xml:space="preserve">(székhely: </w:t>
      </w:r>
      <w:r w:rsidRPr="006379C1">
        <w:rPr>
          <w:rFonts w:eastAsia="Times New Roman"/>
          <w:color w:val="000000"/>
          <w:szCs w:val="24"/>
          <w:lang w:eastAsia="ar-SA"/>
        </w:rPr>
        <w:t>1172 Budapest, Lokátor u. 3</w:t>
      </w:r>
      <w:proofErr w:type="gramStart"/>
      <w:r w:rsidRPr="006379C1">
        <w:rPr>
          <w:rFonts w:eastAsia="Times New Roman"/>
          <w:color w:val="000000"/>
          <w:szCs w:val="24"/>
          <w:lang w:eastAsia="ar-SA"/>
        </w:rPr>
        <w:t>.</w:t>
      </w:r>
      <w:r w:rsidRPr="0075266A">
        <w:rPr>
          <w:szCs w:val="24"/>
        </w:rPr>
        <w:t>,</w:t>
      </w:r>
      <w:proofErr w:type="gramEnd"/>
      <w:r w:rsidRPr="0075266A">
        <w:rPr>
          <w:szCs w:val="24"/>
        </w:rPr>
        <w:t xml:space="preserve"> </w:t>
      </w:r>
      <w:r>
        <w:rPr>
          <w:rFonts w:eastAsia="Times New Roman"/>
          <w:color w:val="000000"/>
          <w:szCs w:val="24"/>
          <w:lang w:eastAsia="ar-SA"/>
        </w:rPr>
        <w:t>a</w:t>
      </w:r>
      <w:r w:rsidRPr="006379C1">
        <w:rPr>
          <w:rFonts w:eastAsia="Times New Roman"/>
          <w:color w:val="000000"/>
          <w:szCs w:val="24"/>
          <w:lang w:eastAsia="ar-SA"/>
        </w:rPr>
        <w:t>dószám: 18120141-2-42</w:t>
      </w:r>
      <w:r>
        <w:rPr>
          <w:szCs w:val="24"/>
        </w:rPr>
        <w:t xml:space="preserve">) </w:t>
      </w:r>
      <w:r w:rsidRPr="0075266A">
        <w:rPr>
          <w:szCs w:val="24"/>
        </w:rPr>
        <w:t xml:space="preserve">között a határozati javaslat mellékletét képező Együttműködés megállapodás </w:t>
      </w:r>
      <w:r>
        <w:rPr>
          <w:szCs w:val="24"/>
        </w:rPr>
        <w:t>–</w:t>
      </w:r>
      <w:r w:rsidRPr="0075266A">
        <w:rPr>
          <w:szCs w:val="24"/>
        </w:rPr>
        <w:t xml:space="preserve"> esetlegesen szükségessé váló</w:t>
      </w:r>
      <w:r>
        <w:rPr>
          <w:szCs w:val="24"/>
        </w:rPr>
        <w:t>,</w:t>
      </w:r>
      <w:r w:rsidRPr="0075266A">
        <w:rPr>
          <w:szCs w:val="24"/>
        </w:rPr>
        <w:t xml:space="preserve"> technikai jellegű módosításokat követő </w:t>
      </w:r>
      <w:r>
        <w:rPr>
          <w:szCs w:val="24"/>
        </w:rPr>
        <w:t>–</w:t>
      </w:r>
      <w:r w:rsidRPr="0075266A">
        <w:rPr>
          <w:szCs w:val="24"/>
        </w:rPr>
        <w:t xml:space="preserve"> aláírására.</w:t>
      </w:r>
    </w:p>
    <w:p w:rsidR="00F8603E" w:rsidRDefault="00F8603E">
      <w:pPr>
        <w:jc w:val="both"/>
        <w:rPr>
          <w:szCs w:val="24"/>
        </w:rPr>
      </w:pPr>
    </w:p>
    <w:p w:rsidR="00F8603E" w:rsidRDefault="00F8603E">
      <w:pPr>
        <w:jc w:val="both"/>
        <w:rPr>
          <w:rFonts w:eastAsia="Times New Roman"/>
          <w:color w:val="000000"/>
          <w:szCs w:val="24"/>
          <w:lang w:eastAsia="ar-SA"/>
        </w:rPr>
      </w:pPr>
      <w:r>
        <w:rPr>
          <w:szCs w:val="24"/>
        </w:rPr>
        <w:t>A Képviselő-testület felhatalmazza a Polgármestert, hogy a technikai lebonyolítás részéleteit dolgozza ki az Egyesülettel együttműködve.</w:t>
      </w:r>
    </w:p>
    <w:p w:rsidR="00DE3B3B" w:rsidRDefault="00DE3B3B" w:rsidP="006379C1">
      <w:pPr>
        <w:jc w:val="both"/>
        <w:rPr>
          <w:szCs w:val="24"/>
        </w:rPr>
      </w:pPr>
      <w:bookmarkStart w:id="1" w:name="_Hlk134443858"/>
    </w:p>
    <w:p w:rsidR="008D2F5E" w:rsidRPr="00475C78" w:rsidRDefault="008D2F5E" w:rsidP="006379C1">
      <w:pPr>
        <w:jc w:val="both"/>
      </w:pPr>
      <w:r w:rsidRPr="00475C78">
        <w:rPr>
          <w:rFonts w:eastAsia="Times New Roman"/>
          <w:color w:val="000000"/>
          <w:szCs w:val="24"/>
          <w:lang w:eastAsia="ar-SA"/>
        </w:rPr>
        <w:t>Felelős:</w:t>
      </w:r>
      <w:r w:rsidRPr="00475C78">
        <w:rPr>
          <w:rFonts w:eastAsia="Times New Roman"/>
          <w:color w:val="000000"/>
          <w:szCs w:val="24"/>
          <w:lang w:eastAsia="ar-SA"/>
        </w:rPr>
        <w:tab/>
        <w:t xml:space="preserve">Polgármester </w:t>
      </w:r>
    </w:p>
    <w:p w:rsidR="008D2F5E" w:rsidRPr="00475C78" w:rsidRDefault="008D2F5E" w:rsidP="006379C1">
      <w:pPr>
        <w:jc w:val="both"/>
        <w:rPr>
          <w:rFonts w:eastAsia="Times New Roman"/>
          <w:color w:val="000000"/>
          <w:szCs w:val="24"/>
          <w:lang w:eastAsia="ar-SA"/>
        </w:rPr>
      </w:pPr>
      <w:r w:rsidRPr="00475C78">
        <w:rPr>
          <w:rFonts w:eastAsia="Times New Roman"/>
          <w:color w:val="000000"/>
          <w:szCs w:val="24"/>
          <w:lang w:eastAsia="ar-SA"/>
        </w:rPr>
        <w:t>Határidő:</w:t>
      </w:r>
      <w:r w:rsidRPr="00475C78">
        <w:rPr>
          <w:rFonts w:eastAsia="Times New Roman"/>
          <w:color w:val="000000"/>
          <w:szCs w:val="24"/>
          <w:lang w:eastAsia="ar-SA"/>
        </w:rPr>
        <w:tab/>
      </w:r>
      <w:r w:rsidR="00F8603E">
        <w:rPr>
          <w:rFonts w:eastAsia="Times New Roman"/>
          <w:color w:val="000000"/>
          <w:szCs w:val="24"/>
          <w:lang w:eastAsia="ar-SA"/>
        </w:rPr>
        <w:t xml:space="preserve">Együttműködési megállapodás aláírása: </w:t>
      </w:r>
      <w:r w:rsidR="00257C4E" w:rsidRPr="00475C78">
        <w:rPr>
          <w:rFonts w:eastAsia="Times New Roman"/>
          <w:color w:val="000000"/>
          <w:szCs w:val="24"/>
          <w:lang w:eastAsia="ar-SA"/>
        </w:rPr>
        <w:t xml:space="preserve">2023. </w:t>
      </w:r>
      <w:r w:rsidR="00F8603E">
        <w:rPr>
          <w:rFonts w:eastAsia="Times New Roman"/>
          <w:color w:val="000000"/>
          <w:szCs w:val="24"/>
          <w:lang w:eastAsia="ar-SA"/>
        </w:rPr>
        <w:t>november 30.</w:t>
      </w:r>
    </w:p>
    <w:p w:rsidR="005B3A74" w:rsidRDefault="005B3A74">
      <w:pPr>
        <w:jc w:val="both"/>
      </w:pPr>
    </w:p>
    <w:bookmarkEnd w:id="1"/>
    <w:p w:rsidR="005B3A74" w:rsidRDefault="005B3A74" w:rsidP="006379C1">
      <w:pPr>
        <w:jc w:val="both"/>
      </w:pPr>
      <w:r>
        <w:rPr>
          <w:rFonts w:eastAsia="Times New Roman"/>
          <w:bCs/>
          <w:i/>
          <w:color w:val="000000"/>
          <w:szCs w:val="24"/>
          <w:lang w:eastAsia="ar-SA"/>
        </w:rPr>
        <w:t>A határozati javaslat elfogadásához egyszerű többségű szavazati arány szükséges.</w:t>
      </w:r>
    </w:p>
    <w:p w:rsidR="00DE3B3B" w:rsidRDefault="00DE3B3B">
      <w:pPr>
        <w:jc w:val="both"/>
        <w:rPr>
          <w:color w:val="000000"/>
        </w:rPr>
      </w:pPr>
    </w:p>
    <w:p w:rsidR="008D2F5E" w:rsidRPr="00DF1F40" w:rsidRDefault="008D2F5E">
      <w:pPr>
        <w:tabs>
          <w:tab w:val="right" w:pos="0"/>
        </w:tabs>
        <w:jc w:val="both"/>
        <w:rPr>
          <w:b/>
        </w:rPr>
      </w:pPr>
      <w:r w:rsidRPr="00DF1F40">
        <w:rPr>
          <w:b/>
          <w:bCs/>
        </w:rPr>
        <w:t xml:space="preserve">Budapest, </w:t>
      </w:r>
      <w:r w:rsidR="00257C4E" w:rsidRPr="00DF1F40">
        <w:rPr>
          <w:b/>
          <w:bCs/>
        </w:rPr>
        <w:t xml:space="preserve">2023. </w:t>
      </w:r>
      <w:r w:rsidR="006379C1" w:rsidRPr="00DF1F40">
        <w:rPr>
          <w:b/>
          <w:bCs/>
        </w:rPr>
        <w:t>október</w:t>
      </w:r>
      <w:r w:rsidR="00257C4E" w:rsidRPr="00DF1F40">
        <w:rPr>
          <w:b/>
          <w:bCs/>
        </w:rPr>
        <w:t xml:space="preserve"> </w:t>
      </w:r>
      <w:r w:rsidR="002A37EA" w:rsidRPr="00DF1F40">
        <w:rPr>
          <w:b/>
          <w:bCs/>
        </w:rPr>
        <w:t>1</w:t>
      </w:r>
      <w:r w:rsidR="004E2184" w:rsidRPr="00DF1F40">
        <w:rPr>
          <w:b/>
          <w:bCs/>
        </w:rPr>
        <w:t>7</w:t>
      </w:r>
      <w:r w:rsidR="005B3A74" w:rsidRPr="00DF1F40">
        <w:rPr>
          <w:b/>
          <w:bCs/>
        </w:rPr>
        <w:t>.</w:t>
      </w:r>
    </w:p>
    <w:p w:rsidR="006379C1" w:rsidRPr="00DF1F40" w:rsidRDefault="006379C1">
      <w:pPr>
        <w:jc w:val="both"/>
        <w:rPr>
          <w:b/>
          <w:bCs/>
          <w:color w:val="000000"/>
        </w:rPr>
      </w:pPr>
    </w:p>
    <w:p w:rsidR="008D2F5E" w:rsidRPr="00DF1F40" w:rsidRDefault="008D2F5E">
      <w:pPr>
        <w:jc w:val="both"/>
        <w:rPr>
          <w:b/>
          <w:color w:val="000000"/>
        </w:rPr>
      </w:pPr>
      <w:bookmarkStart w:id="2" w:name="_GoBack"/>
      <w:bookmarkEnd w:id="2"/>
    </w:p>
    <w:p w:rsidR="00DE3B3B" w:rsidRPr="00DF1F40" w:rsidRDefault="00DE3B3B">
      <w:pPr>
        <w:jc w:val="both"/>
        <w:rPr>
          <w:b/>
          <w:color w:val="000000"/>
        </w:rPr>
      </w:pPr>
    </w:p>
    <w:p w:rsidR="008D2F5E" w:rsidRPr="00DF1F40" w:rsidRDefault="005B3A74" w:rsidP="00AD4418">
      <w:pPr>
        <w:tabs>
          <w:tab w:val="right" w:pos="0"/>
        </w:tabs>
        <w:ind w:firstLine="5670"/>
        <w:jc w:val="center"/>
        <w:rPr>
          <w:b/>
        </w:rPr>
      </w:pPr>
      <w:r w:rsidRPr="00DF1F40">
        <w:rPr>
          <w:b/>
        </w:rPr>
        <w:t>Ö</w:t>
      </w:r>
      <w:r w:rsidR="008D2F5E" w:rsidRPr="00DF1F40">
        <w:rPr>
          <w:b/>
        </w:rPr>
        <w:t>rsi Gergely</w:t>
      </w:r>
    </w:p>
    <w:p w:rsidR="008D2F5E" w:rsidRDefault="008D2F5E" w:rsidP="00951AA2">
      <w:pPr>
        <w:tabs>
          <w:tab w:val="right" w:pos="0"/>
        </w:tabs>
        <w:ind w:firstLine="5670"/>
        <w:jc w:val="center"/>
      </w:pPr>
      <w:proofErr w:type="gramStart"/>
      <w:r w:rsidRPr="00AD4418">
        <w:rPr>
          <w:rFonts w:eastAsia="Times New Roman"/>
          <w:szCs w:val="24"/>
        </w:rPr>
        <w:t>polgármester</w:t>
      </w:r>
      <w:proofErr w:type="gramEnd"/>
    </w:p>
    <w:sectPr w:rsidR="008D2F5E" w:rsidSect="003F7382">
      <w:footerReference w:type="default" r:id="rId7"/>
      <w:pgSz w:w="11906" w:h="16838"/>
      <w:pgMar w:top="1276" w:right="1134" w:bottom="1276" w:left="1134" w:header="708" w:footer="6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705" w:rsidRDefault="00651705">
      <w:r>
        <w:separator/>
      </w:r>
    </w:p>
  </w:endnote>
  <w:endnote w:type="continuationSeparator" w:id="0">
    <w:p w:rsidR="00651705" w:rsidRDefault="0065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TT">
    <w:altName w:val="Corbel"/>
    <w:charset w:val="00"/>
    <w:family w:val="swiss"/>
    <w:pitch w:val="variable"/>
    <w:sig w:usb0="00000001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4459794"/>
      <w:docPartObj>
        <w:docPartGallery w:val="Page Numbers (Bottom of Page)"/>
        <w:docPartUnique/>
      </w:docPartObj>
    </w:sdtPr>
    <w:sdtEndPr/>
    <w:sdtContent>
      <w:p w:rsidR="008D2F5E" w:rsidRDefault="003F7382" w:rsidP="003F738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F40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705" w:rsidRDefault="00651705">
      <w:r>
        <w:separator/>
      </w:r>
    </w:p>
  </w:footnote>
  <w:footnote w:type="continuationSeparator" w:id="0">
    <w:p w:rsidR="00651705" w:rsidRDefault="00651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33533AC"/>
    <w:multiLevelType w:val="hybridMultilevel"/>
    <w:tmpl w:val="0254C9F8"/>
    <w:lvl w:ilvl="0" w:tplc="5742F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C98"/>
    <w:multiLevelType w:val="hybridMultilevel"/>
    <w:tmpl w:val="77985C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C444D"/>
    <w:multiLevelType w:val="hybridMultilevel"/>
    <w:tmpl w:val="CF1E5840"/>
    <w:lvl w:ilvl="0" w:tplc="CB120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64B9F"/>
    <w:multiLevelType w:val="hybridMultilevel"/>
    <w:tmpl w:val="9B2A2F84"/>
    <w:lvl w:ilvl="0" w:tplc="7B002D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37488"/>
    <w:multiLevelType w:val="hybridMultilevel"/>
    <w:tmpl w:val="93407CDE"/>
    <w:lvl w:ilvl="0" w:tplc="CBA88408">
      <w:start w:val="4"/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A2"/>
    <w:rsid w:val="000039B1"/>
    <w:rsid w:val="00020A82"/>
    <w:rsid w:val="0007644E"/>
    <w:rsid w:val="00085F48"/>
    <w:rsid w:val="00087ADD"/>
    <w:rsid w:val="000D4D82"/>
    <w:rsid w:val="000F51F1"/>
    <w:rsid w:val="00140B5B"/>
    <w:rsid w:val="00143573"/>
    <w:rsid w:val="001842EB"/>
    <w:rsid w:val="00190F54"/>
    <w:rsid w:val="001D7000"/>
    <w:rsid w:val="001D7105"/>
    <w:rsid w:val="0020285C"/>
    <w:rsid w:val="002131A9"/>
    <w:rsid w:val="00257C4E"/>
    <w:rsid w:val="00273EDD"/>
    <w:rsid w:val="002A37EA"/>
    <w:rsid w:val="002B47EC"/>
    <w:rsid w:val="002C0477"/>
    <w:rsid w:val="002F0F97"/>
    <w:rsid w:val="0030476B"/>
    <w:rsid w:val="003403A9"/>
    <w:rsid w:val="003541C0"/>
    <w:rsid w:val="00374242"/>
    <w:rsid w:val="003E7E14"/>
    <w:rsid w:val="003F7382"/>
    <w:rsid w:val="004123D2"/>
    <w:rsid w:val="00444679"/>
    <w:rsid w:val="00475C78"/>
    <w:rsid w:val="004D2E28"/>
    <w:rsid w:val="004E2184"/>
    <w:rsid w:val="004E6285"/>
    <w:rsid w:val="0056506F"/>
    <w:rsid w:val="00566ADB"/>
    <w:rsid w:val="00581972"/>
    <w:rsid w:val="00587296"/>
    <w:rsid w:val="00587EC3"/>
    <w:rsid w:val="005A18AC"/>
    <w:rsid w:val="005B3A74"/>
    <w:rsid w:val="005B5830"/>
    <w:rsid w:val="005C303E"/>
    <w:rsid w:val="005E0B56"/>
    <w:rsid w:val="005E4513"/>
    <w:rsid w:val="006016A2"/>
    <w:rsid w:val="006379C1"/>
    <w:rsid w:val="0064647C"/>
    <w:rsid w:val="00651705"/>
    <w:rsid w:val="0065479C"/>
    <w:rsid w:val="006633FB"/>
    <w:rsid w:val="006E023C"/>
    <w:rsid w:val="006E0ED0"/>
    <w:rsid w:val="006E3E7E"/>
    <w:rsid w:val="00700C40"/>
    <w:rsid w:val="00724980"/>
    <w:rsid w:val="007310B4"/>
    <w:rsid w:val="007354E8"/>
    <w:rsid w:val="00746416"/>
    <w:rsid w:val="007A5F67"/>
    <w:rsid w:val="007C1197"/>
    <w:rsid w:val="007D2AD0"/>
    <w:rsid w:val="007E47C6"/>
    <w:rsid w:val="00821EDC"/>
    <w:rsid w:val="008260B3"/>
    <w:rsid w:val="008A7167"/>
    <w:rsid w:val="008C0D81"/>
    <w:rsid w:val="008D2F5E"/>
    <w:rsid w:val="008E0D28"/>
    <w:rsid w:val="00926342"/>
    <w:rsid w:val="0094112A"/>
    <w:rsid w:val="00951AA2"/>
    <w:rsid w:val="00992887"/>
    <w:rsid w:val="00A239C7"/>
    <w:rsid w:val="00A74468"/>
    <w:rsid w:val="00A96A22"/>
    <w:rsid w:val="00AA732B"/>
    <w:rsid w:val="00AD4418"/>
    <w:rsid w:val="00B01FF0"/>
    <w:rsid w:val="00B07C88"/>
    <w:rsid w:val="00B34EFC"/>
    <w:rsid w:val="00B41AAA"/>
    <w:rsid w:val="00B528E3"/>
    <w:rsid w:val="00B81809"/>
    <w:rsid w:val="00BA328B"/>
    <w:rsid w:val="00BC49A2"/>
    <w:rsid w:val="00BE7D75"/>
    <w:rsid w:val="00C11B67"/>
    <w:rsid w:val="00C62835"/>
    <w:rsid w:val="00C65BCA"/>
    <w:rsid w:val="00C75391"/>
    <w:rsid w:val="00C771D4"/>
    <w:rsid w:val="00C93255"/>
    <w:rsid w:val="00CC197F"/>
    <w:rsid w:val="00CD5D08"/>
    <w:rsid w:val="00CF5E65"/>
    <w:rsid w:val="00D12DA8"/>
    <w:rsid w:val="00D15A43"/>
    <w:rsid w:val="00D20DB8"/>
    <w:rsid w:val="00D72A3E"/>
    <w:rsid w:val="00D85A9E"/>
    <w:rsid w:val="00DB3F49"/>
    <w:rsid w:val="00DB5586"/>
    <w:rsid w:val="00DE3B3B"/>
    <w:rsid w:val="00DE708C"/>
    <w:rsid w:val="00DF1F40"/>
    <w:rsid w:val="00DF4A2A"/>
    <w:rsid w:val="00E00EBB"/>
    <w:rsid w:val="00E02D53"/>
    <w:rsid w:val="00E278C6"/>
    <w:rsid w:val="00E52118"/>
    <w:rsid w:val="00E671D8"/>
    <w:rsid w:val="00E7403B"/>
    <w:rsid w:val="00EC5437"/>
    <w:rsid w:val="00EF355F"/>
    <w:rsid w:val="00F102D3"/>
    <w:rsid w:val="00F106FA"/>
    <w:rsid w:val="00F17FAE"/>
    <w:rsid w:val="00F254E3"/>
    <w:rsid w:val="00F31AFE"/>
    <w:rsid w:val="00F32AF1"/>
    <w:rsid w:val="00F45BF2"/>
    <w:rsid w:val="00F714A3"/>
    <w:rsid w:val="00F74ADB"/>
    <w:rsid w:val="00F82AA0"/>
    <w:rsid w:val="00F8603E"/>
    <w:rsid w:val="00FB3C4C"/>
    <w:rsid w:val="00FD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chartTrackingRefBased/>
  <w15:docId w15:val="{03B339E0-03F7-4E57-97DA-DDACBCEE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  <w:rPr>
      <w:rFonts w:eastAsia="Arial Unicode MS"/>
      <w:sz w:val="24"/>
      <w:lang w:eastAsia="zh-CN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Cmsor2">
    <w:name w:val="heading 2"/>
    <w:basedOn w:val="Norml"/>
    <w:next w:val="Norml"/>
    <w:qFormat/>
    <w:pPr>
      <w:keepNext/>
      <w:keepLines/>
      <w:widowControl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pPr>
      <w:keepNext/>
      <w:keepLines/>
      <w:widowControl/>
      <w:spacing w:before="240" w:after="60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eastAsia="Times New Roman" w:hint="default"/>
      <w:color w:val="0000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Bekezdsalapbettpusa1">
    <w:name w:val="Bekezdés alapbetűtípusa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styleId="Oldalszm">
    <w:name w:val="page number"/>
    <w:basedOn w:val="Bekezdsalapbettpusa1"/>
  </w:style>
  <w:style w:type="character" w:customStyle="1" w:styleId="SzvegtrzsChar">
    <w:name w:val="Szövegtörzs Char"/>
    <w:rPr>
      <w:sz w:val="24"/>
      <w:lang w:val="hu-HU" w:bidi="ar-SA"/>
    </w:rPr>
  </w:style>
  <w:style w:type="character" w:customStyle="1" w:styleId="BuborkszvegChar">
    <w:name w:val="Buborékszöveg Char"/>
    <w:rPr>
      <w:rFonts w:ascii="Segoe UI" w:eastAsia="Arial Unicode MS" w:hAnsi="Segoe UI" w:cs="Segoe UI"/>
      <w:sz w:val="18"/>
      <w:szCs w:val="18"/>
    </w:rPr>
  </w:style>
  <w:style w:type="character" w:customStyle="1" w:styleId="Cmsor2Char">
    <w:name w:val="Címsor 2 Char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rPr>
      <w:rFonts w:ascii="Arial" w:hAnsi="Arial" w:cs="Arial"/>
      <w:b/>
      <w:bCs/>
      <w:sz w:val="26"/>
      <w:szCs w:val="26"/>
    </w:rPr>
  </w:style>
  <w:style w:type="character" w:styleId="Hiperhivatkozs">
    <w:name w:val="Hyperlink"/>
    <w:rPr>
      <w:color w:val="0000FF"/>
      <w:u w:val="single"/>
    </w:rPr>
  </w:style>
  <w:style w:type="character" w:customStyle="1" w:styleId="SzvegtrzsbehzssalChar">
    <w:name w:val="Szövegtörzs behúzással Char"/>
    <w:rPr>
      <w:sz w:val="24"/>
    </w:rPr>
  </w:style>
  <w:style w:type="character" w:customStyle="1" w:styleId="HatszvegChar">
    <w:name w:val="Hat. szöveg Char"/>
    <w:rPr>
      <w:sz w:val="26"/>
    </w:rPr>
  </w:style>
  <w:style w:type="character" w:customStyle="1" w:styleId="Cmsor4Char">
    <w:name w:val="Címsor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zvegtrzs2Char">
    <w:name w:val="Szövegtörzs 2 Char"/>
    <w:rPr>
      <w:rFonts w:eastAsia="Arial Unicode MS"/>
      <w:sz w:val="24"/>
    </w:rPr>
  </w:style>
  <w:style w:type="character" w:customStyle="1" w:styleId="LbjegyzetszvegChar">
    <w:name w:val="Lábjegyzetszöveg Char"/>
    <w:rPr>
      <w:rFonts w:eastAsia="Arial Unicode MS"/>
    </w:rPr>
  </w:style>
  <w:style w:type="character" w:customStyle="1" w:styleId="Lbjegyzet-karakterek">
    <w:name w:val="Lábjegyzet-karakterek"/>
    <w:rPr>
      <w:vertAlign w:val="superscript"/>
    </w:rPr>
  </w:style>
  <w:style w:type="character" w:customStyle="1" w:styleId="Feloldatlanmegemlts">
    <w:name w:val="Feloldatlan megemlítés"/>
    <w:rPr>
      <w:color w:val="605E5C"/>
      <w:shd w:val="clear" w:color="auto" w:fill="E1DFDD"/>
    </w:rPr>
  </w:style>
  <w:style w:type="character" w:styleId="Sorszma">
    <w:name w:val="line number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Szvegtrzs31">
    <w:name w:val="Szövegtörzs 31"/>
    <w:basedOn w:val="Norml"/>
    <w:pPr>
      <w:spacing w:before="120"/>
      <w:jc w:val="both"/>
    </w:pPr>
  </w:style>
  <w:style w:type="paragraph" w:styleId="NormlWeb">
    <w:name w:val="Normal (Web)"/>
    <w:basedOn w:val="Norml"/>
    <w:pPr>
      <w:suppressAutoHyphens w:val="0"/>
      <w:spacing w:before="280" w:after="119"/>
    </w:pPr>
  </w:style>
  <w:style w:type="paragraph" w:customStyle="1" w:styleId="western">
    <w:name w:val="western"/>
    <w:basedOn w:val="Norml"/>
    <w:pPr>
      <w:suppressAutoHyphens w:val="0"/>
      <w:spacing w:before="280" w:line="336" w:lineRule="auto"/>
    </w:pPr>
    <w:rPr>
      <w:rFonts w:ascii="FrutigerTT" w:hAnsi="FrutigerTT" w:cs="FrutigerTT"/>
      <w:sz w:val="18"/>
      <w:szCs w:val="18"/>
    </w:rPr>
  </w:style>
  <w:style w:type="paragraph" w:customStyle="1" w:styleId="lfejsllb">
    <w:name w:val="Élőfej és élőláb"/>
    <w:basedOn w:val="Norml"/>
    <w:pPr>
      <w:suppressLineNumbers/>
      <w:tabs>
        <w:tab w:val="center" w:pos="4819"/>
        <w:tab w:val="right" w:pos="9638"/>
      </w:tabs>
    </w:pPr>
  </w:style>
  <w:style w:type="paragraph" w:styleId="llb">
    <w:name w:val="footer"/>
    <w:basedOn w:val="Norml"/>
    <w:link w:val="llbChar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CharCharCharChar">
    <w:name w:val="Char Char Char Char"/>
    <w:basedOn w:val="Norml"/>
    <w:pPr>
      <w:widowControl/>
      <w:suppressAutoHyphens w:val="0"/>
      <w:spacing w:after="160" w:line="240" w:lineRule="exact"/>
    </w:pPr>
    <w:rPr>
      <w:rFonts w:ascii="Verdana" w:eastAsia="Times New Roman" w:hAnsi="Verdana" w:cs="Verdana"/>
      <w:sz w:val="20"/>
      <w:lang w:val="en-US"/>
    </w:rPr>
  </w:style>
  <w:style w:type="paragraph" w:styleId="Buborkszveg">
    <w:name w:val="Balloon Text"/>
    <w:basedOn w:val="Norml"/>
    <w:rPr>
      <w:rFonts w:ascii="Segoe UI" w:hAnsi="Segoe UI" w:cs="Segoe UI"/>
      <w:sz w:val="18"/>
      <w:szCs w:val="18"/>
    </w:rPr>
  </w:style>
  <w:style w:type="paragraph" w:styleId="Nincstrkz">
    <w:name w:val="No Spacing"/>
    <w:qFormat/>
    <w:pPr>
      <w:widowControl w:val="0"/>
      <w:suppressAutoHyphens/>
    </w:pPr>
    <w:rPr>
      <w:rFonts w:eastAsia="Arial Unicode MS"/>
      <w:sz w:val="24"/>
      <w:lang w:eastAsia="zh-CN"/>
    </w:rPr>
  </w:style>
  <w:style w:type="paragraph" w:styleId="Szvegtrzsbehzssal">
    <w:name w:val="Body Text Indent"/>
    <w:basedOn w:val="Norml"/>
    <w:pPr>
      <w:keepLines/>
      <w:widowControl/>
      <w:spacing w:after="120"/>
      <w:ind w:left="283"/>
      <w:jc w:val="both"/>
    </w:pPr>
    <w:rPr>
      <w:rFonts w:eastAsia="Times New Roman"/>
    </w:rPr>
  </w:style>
  <w:style w:type="paragraph" w:customStyle="1" w:styleId="Hatszveg">
    <w:name w:val="Hat. szöveg"/>
    <w:basedOn w:val="Norml"/>
    <w:pPr>
      <w:keepLines/>
      <w:widowControl/>
      <w:overflowPunct w:val="0"/>
      <w:autoSpaceDE w:val="0"/>
      <w:spacing w:after="120"/>
      <w:ind w:left="1134"/>
      <w:jc w:val="both"/>
      <w:textAlignment w:val="baseline"/>
    </w:pPr>
    <w:rPr>
      <w:rFonts w:eastAsia="Times New Roman"/>
      <w:sz w:val="26"/>
    </w:rPr>
  </w:style>
  <w:style w:type="paragraph" w:customStyle="1" w:styleId="Szvegtrzs21">
    <w:name w:val="Szövegtörzs 21"/>
    <w:basedOn w:val="Norml"/>
    <w:pPr>
      <w:spacing w:after="120" w:line="480" w:lineRule="auto"/>
    </w:pPr>
  </w:style>
  <w:style w:type="paragraph" w:customStyle="1" w:styleId="Char">
    <w:name w:val="Char"/>
    <w:basedOn w:val="Norml"/>
    <w:pPr>
      <w:widowControl/>
      <w:suppressAutoHyphens w:val="0"/>
      <w:spacing w:after="160" w:line="240" w:lineRule="exact"/>
    </w:pPr>
    <w:rPr>
      <w:rFonts w:ascii="Verdana" w:eastAsia="Times New Roman" w:hAnsi="Verdana" w:cs="Verdana"/>
      <w:sz w:val="20"/>
      <w:lang w:val="en-US"/>
    </w:rPr>
  </w:style>
  <w:style w:type="paragraph" w:styleId="Lbjegyzetszveg">
    <w:name w:val="footnote text"/>
    <w:basedOn w:val="Norml"/>
    <w:rPr>
      <w:sz w:val="20"/>
    </w:rPr>
  </w:style>
  <w:style w:type="paragraph" w:styleId="Vltozat">
    <w:name w:val="Revision"/>
    <w:pPr>
      <w:suppressAutoHyphens/>
    </w:pPr>
    <w:rPr>
      <w:rFonts w:eastAsia="Arial Unicode MS"/>
      <w:sz w:val="24"/>
      <w:lang w:eastAsia="zh-CN"/>
    </w:rPr>
  </w:style>
  <w:style w:type="paragraph" w:customStyle="1" w:styleId="Kerettartalom">
    <w:name w:val="Kerettartalom"/>
    <w:basedOn w:val="Norml"/>
  </w:style>
  <w:style w:type="paragraph" w:styleId="Listaszerbekezds">
    <w:name w:val="List Paragraph"/>
    <w:basedOn w:val="Norml"/>
    <w:uiPriority w:val="34"/>
    <w:qFormat/>
    <w:rsid w:val="007D2AD0"/>
    <w:pPr>
      <w:ind w:left="708"/>
    </w:pPr>
  </w:style>
  <w:style w:type="paragraph" w:styleId="lfej">
    <w:name w:val="header"/>
    <w:basedOn w:val="Norml"/>
    <w:link w:val="lfejChar"/>
    <w:uiPriority w:val="99"/>
    <w:unhideWhenUsed/>
    <w:rsid w:val="00C7539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75391"/>
    <w:rPr>
      <w:rFonts w:eastAsia="Arial Unicode MS"/>
      <w:sz w:val="24"/>
      <w:lang w:eastAsia="zh-CN"/>
    </w:rPr>
  </w:style>
  <w:style w:type="character" w:customStyle="1" w:styleId="llbChar">
    <w:name w:val="Élőláb Char"/>
    <w:basedOn w:val="Bekezdsalapbettpusa"/>
    <w:link w:val="llb"/>
    <w:uiPriority w:val="99"/>
    <w:rsid w:val="003F7382"/>
    <w:rPr>
      <w:rFonts w:eastAsia="Arial Unicode MS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1077</Words>
  <Characters>7433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Links>
    <vt:vector size="6" baseType="variant">
      <vt:variant>
        <vt:i4>2949234</vt:i4>
      </vt:variant>
      <vt:variant>
        <vt:i4>0</vt:i4>
      </vt:variant>
      <vt:variant>
        <vt:i4>0</vt:i4>
      </vt:variant>
      <vt:variant>
        <vt:i4>5</vt:i4>
      </vt:variant>
      <vt:variant>
        <vt:lpwstr>https://www.enhat.mekh.hu/jogszabalyok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II. kerületi Önkormányzat</dc:creator>
  <cp:keywords/>
  <cp:lastModifiedBy>Silye Tamás</cp:lastModifiedBy>
  <cp:revision>12</cp:revision>
  <cp:lastPrinted>2023-08-31T06:35:00Z</cp:lastPrinted>
  <dcterms:created xsi:type="dcterms:W3CDTF">2023-10-09T10:26:00Z</dcterms:created>
  <dcterms:modified xsi:type="dcterms:W3CDTF">2023-10-17T11:29:00Z</dcterms:modified>
</cp:coreProperties>
</file>