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2F" w:rsidRPr="007D3A70" w:rsidRDefault="00AF492F" w:rsidP="00AF492F">
      <w:pPr>
        <w:keepNext/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</w:pPr>
      <w:r w:rsidRPr="00300F54"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  <w:t xml:space="preserve">  </w:t>
      </w:r>
      <w:r w:rsidRPr="007D3A70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>.</w:t>
      </w:r>
      <w:proofErr w:type="gramStart"/>
      <w:r w:rsidRPr="007D3A70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>.….</w:t>
      </w:r>
      <w:proofErr w:type="gramEnd"/>
      <w:r w:rsidRPr="007D3A70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 xml:space="preserve"> </w:t>
      </w:r>
      <w:r w:rsidR="00D66985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>(</w:t>
      </w:r>
      <w:r w:rsidRPr="007D3A70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>sz.</w:t>
      </w:r>
      <w:r w:rsidR="00D66985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>)</w:t>
      </w:r>
      <w:r w:rsidRPr="007D3A70">
        <w:rPr>
          <w:rFonts w:ascii="Times New Roman" w:eastAsia="Times New Roman" w:hAnsi="Times New Roman" w:cs="Times New Roman"/>
          <w:bCs/>
          <w:sz w:val="25"/>
          <w:szCs w:val="25"/>
          <w:lang w:eastAsia="hu-HU"/>
        </w:rPr>
        <w:t xml:space="preserve"> napirend  </w:t>
      </w:r>
    </w:p>
    <w:p w:rsidR="00AF492F" w:rsidRPr="00300F54" w:rsidRDefault="00AF492F" w:rsidP="00AF492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p w:rsidR="00AF492F" w:rsidRPr="00300F54" w:rsidRDefault="00AF492F" w:rsidP="00AF492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p w:rsidR="00AF492F" w:rsidRPr="0020382C" w:rsidRDefault="00AF492F" w:rsidP="00AF492F">
      <w:pPr>
        <w:keepNext/>
        <w:spacing w:after="0" w:line="240" w:lineRule="auto"/>
        <w:ind w:left="5664" w:firstLine="96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</w:pPr>
      <w:r w:rsidRPr="0020382C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        Előterjesztve:</w:t>
      </w:r>
    </w:p>
    <w:p w:rsidR="00AF492F" w:rsidRPr="0020382C" w:rsidRDefault="00AF492F" w:rsidP="00AF492F">
      <w:pPr>
        <w:spacing w:after="0" w:line="240" w:lineRule="auto"/>
        <w:ind w:left="4956" w:firstLine="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</w:t>
      </w:r>
      <w:r w:rsidRPr="002038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Bizottsághoz</w:t>
      </w:r>
    </w:p>
    <w:p w:rsidR="00AF492F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AF492F" w:rsidRPr="006B5AE6" w:rsidRDefault="00AF492F" w:rsidP="00AF492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hu-HU"/>
        </w:rPr>
      </w:pPr>
      <w:r w:rsidRPr="006B5AE6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hu-HU"/>
        </w:rPr>
        <w:t>E L Ő T E R J E S Z T É S</w:t>
      </w:r>
    </w:p>
    <w:p w:rsidR="00AF492F" w:rsidRPr="00300F54" w:rsidRDefault="00AF492F" w:rsidP="00AF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p w:rsidR="00AF492F" w:rsidRPr="00300F54" w:rsidRDefault="00EE20A5" w:rsidP="00AF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Képviselő-testület 2022</w:t>
      </w:r>
      <w:r w:rsidR="00AF492F" w:rsidRPr="00300F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9A14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</w:t>
      </w:r>
      <w:r w:rsidR="002A7D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24</w:t>
      </w:r>
      <w:r w:rsidR="00AF49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</w:t>
      </w:r>
      <w:r w:rsidR="002A7D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rendes</w:t>
      </w:r>
      <w:r w:rsidR="00AF492F" w:rsidRPr="00300F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ülésére </w:t>
      </w: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300F54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7D3A70" w:rsidRDefault="00AF492F" w:rsidP="00AF492F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9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</w:t>
      </w:r>
      <w:r w:rsidRPr="007D3A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D3A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66985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Budapest Főváros II. Kerületi Önkormányzat Képviselő-testületének az építményadóról és a magánszemélyek kommunális adójáról szóló 57/1996.(XII.23.)</w:t>
      </w:r>
      <w:r w:rsidRPr="007D3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rendeletének módosítására</w:t>
      </w:r>
    </w:p>
    <w:p w:rsidR="00AF492F" w:rsidRPr="007D3A70" w:rsidRDefault="00AF492F" w:rsidP="00AF492F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7D3A70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7D3A70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7D3A70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7D3A70" w:rsidRDefault="00AF492F" w:rsidP="007D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70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D3A7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D66985" w:rsidRDefault="00AF492F" w:rsidP="007D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70">
        <w:rPr>
          <w:rFonts w:ascii="Times New Roman" w:hAnsi="Times New Roman" w:cs="Times New Roman"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A7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7D3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A70">
        <w:rPr>
          <w:rFonts w:ascii="Times New Roman" w:hAnsi="Times New Roman" w:cs="Times New Roman"/>
          <w:sz w:val="24"/>
          <w:szCs w:val="24"/>
        </w:rPr>
        <w:t>Kőműves</w:t>
      </w:r>
      <w:r w:rsidR="00592177" w:rsidRPr="007D3A70">
        <w:rPr>
          <w:rFonts w:ascii="Times New Roman" w:hAnsi="Times New Roman" w:cs="Times New Roman"/>
          <w:sz w:val="24"/>
          <w:szCs w:val="24"/>
        </w:rPr>
        <w:t>-Szűcs</w:t>
      </w:r>
      <w:proofErr w:type="spellEnd"/>
      <w:r w:rsidRPr="007D3A70"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AF492F" w:rsidRPr="007D3A70" w:rsidRDefault="00D66985" w:rsidP="007D3A7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AF492F" w:rsidRPr="007D3A70">
        <w:rPr>
          <w:rFonts w:ascii="Times New Roman" w:hAnsi="Times New Roman" w:cs="Times New Roman"/>
          <w:sz w:val="24"/>
          <w:szCs w:val="24"/>
        </w:rPr>
        <w:t>dóügyi</w:t>
      </w:r>
      <w:proofErr w:type="gramEnd"/>
      <w:r w:rsidR="00AF492F" w:rsidRPr="007D3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492F" w:rsidRPr="007D3A70">
        <w:rPr>
          <w:rFonts w:ascii="Times New Roman" w:hAnsi="Times New Roman" w:cs="Times New Roman"/>
          <w:sz w:val="24"/>
          <w:szCs w:val="24"/>
        </w:rPr>
        <w:t>gazgató</w:t>
      </w:r>
      <w:r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AF492F" w:rsidRPr="007D3A70" w:rsidRDefault="00AF492F" w:rsidP="00AF492F">
      <w:pPr>
        <w:rPr>
          <w:rFonts w:ascii="Times New Roman" w:hAnsi="Times New Roman" w:cs="Times New Roman"/>
          <w:sz w:val="24"/>
          <w:szCs w:val="24"/>
        </w:rPr>
      </w:pPr>
    </w:p>
    <w:p w:rsidR="00AF492F" w:rsidRPr="007D3A70" w:rsidRDefault="00AF492F" w:rsidP="00AF492F">
      <w:pPr>
        <w:rPr>
          <w:rFonts w:ascii="Times New Roman" w:hAnsi="Times New Roman" w:cs="Times New Roman"/>
          <w:b/>
          <w:sz w:val="24"/>
          <w:szCs w:val="24"/>
        </w:rPr>
      </w:pPr>
    </w:p>
    <w:p w:rsidR="00AF492F" w:rsidRPr="007D3A70" w:rsidRDefault="00AF492F" w:rsidP="007D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70">
        <w:rPr>
          <w:rFonts w:ascii="Times New Roman" w:hAnsi="Times New Roman" w:cs="Times New Roman"/>
          <w:b/>
          <w:sz w:val="24"/>
          <w:szCs w:val="24"/>
        </w:rPr>
        <w:t>Látta:</w:t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D3A70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D66985" w:rsidRDefault="00AF492F" w:rsidP="007D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70">
        <w:rPr>
          <w:rFonts w:ascii="Times New Roman" w:hAnsi="Times New Roman" w:cs="Times New Roman"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A7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7D3A70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AF492F" w:rsidRPr="007D3A70" w:rsidRDefault="00D66985" w:rsidP="007D3A7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AF492F" w:rsidRPr="007D3A70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AF492F" w:rsidRPr="00D66985" w:rsidRDefault="00AF492F" w:rsidP="00D6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D66985" w:rsidRDefault="00AF492F" w:rsidP="00D6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Pr="007D3A70" w:rsidRDefault="00AF492F" w:rsidP="007D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r w:rsidRPr="007D3A70">
        <w:rPr>
          <w:rFonts w:ascii="Times New Roman" w:hAnsi="Times New Roman" w:cs="Times New Roman"/>
          <w:b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66985" w:rsidRDefault="00AF492F" w:rsidP="007D3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A70">
        <w:rPr>
          <w:rFonts w:ascii="Times New Roman" w:hAnsi="Times New Roman" w:cs="Times New Roman"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ab/>
      </w:r>
      <w:r w:rsidRPr="007D3A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3A7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7D3A70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:rsidR="00AF492F" w:rsidRPr="007D3A70" w:rsidRDefault="00D66985" w:rsidP="007D3A70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AF492F" w:rsidRPr="007D3A70">
        <w:rPr>
          <w:rFonts w:ascii="Times New Roman" w:hAnsi="Times New Roman" w:cs="Times New Roman"/>
          <w:sz w:val="24"/>
          <w:szCs w:val="24"/>
        </w:rPr>
        <w:t>egyzői</w:t>
      </w:r>
      <w:proofErr w:type="gramEnd"/>
      <w:r w:rsidR="00AF492F" w:rsidRPr="007D3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F492F" w:rsidRPr="007D3A70">
        <w:rPr>
          <w:rFonts w:ascii="Times New Roman" w:hAnsi="Times New Roman" w:cs="Times New Roman"/>
          <w:sz w:val="24"/>
          <w:szCs w:val="24"/>
        </w:rPr>
        <w:t>gazgató</w:t>
      </w:r>
    </w:p>
    <w:p w:rsidR="00AF492F" w:rsidRPr="00D66985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F492F" w:rsidRDefault="00AF492F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458" w:rsidRDefault="00A01458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458" w:rsidRDefault="00A01458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458" w:rsidRDefault="00A01458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458" w:rsidRPr="00D66985" w:rsidRDefault="00A01458" w:rsidP="00AF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AF492F" w:rsidRPr="007D3A70" w:rsidRDefault="00AF492F" w:rsidP="00AF49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D3A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napirend tárgyalása zárt ülést nem igényel</w:t>
      </w:r>
      <w:r w:rsidR="00D669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1A3463" w:rsidRDefault="001A346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FB4F8D" w:rsidRDefault="007A7DA8" w:rsidP="007D3A70">
      <w:pPr>
        <w:rPr>
          <w:rFonts w:ascii="Times New Roman" w:hAnsi="Times New Roman" w:cs="Times New Roman"/>
          <w:sz w:val="24"/>
          <w:szCs w:val="24"/>
        </w:rPr>
      </w:pPr>
      <w:r w:rsidRPr="007A7DA8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DB7944" w:rsidRDefault="00DB7944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202</w:t>
      </w:r>
      <w:r w:rsidR="002B6C4F">
        <w:rPr>
          <w:rFonts w:ascii="Times New Roman" w:hAnsi="Times New Roman" w:cs="Times New Roman"/>
          <w:sz w:val="24"/>
          <w:szCs w:val="24"/>
        </w:rPr>
        <w:t>3</w:t>
      </w:r>
      <w:r w:rsidR="00204402">
        <w:rPr>
          <w:rFonts w:ascii="Times New Roman" w:hAnsi="Times New Roman" w:cs="Times New Roman"/>
          <w:sz w:val="24"/>
          <w:szCs w:val="24"/>
        </w:rPr>
        <w:t xml:space="preserve">. évi központi </w:t>
      </w:r>
      <w:r w:rsidR="002B6C4F">
        <w:rPr>
          <w:rFonts w:ascii="Times New Roman" w:hAnsi="Times New Roman" w:cs="Times New Roman"/>
          <w:sz w:val="24"/>
          <w:szCs w:val="24"/>
        </w:rPr>
        <w:t>költségvetéséről szóló 2022. évi XXV. törvény 42. §</w:t>
      </w:r>
      <w:proofErr w:type="spellStart"/>
      <w:r w:rsidR="002B6C4F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="002B6C4F">
        <w:rPr>
          <w:rFonts w:ascii="Times New Roman" w:hAnsi="Times New Roman" w:cs="Times New Roman"/>
          <w:sz w:val="24"/>
          <w:szCs w:val="24"/>
        </w:rPr>
        <w:t xml:space="preserve"> szabályozottak</w:t>
      </w:r>
      <w:r w:rsidR="0099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D1E">
        <w:rPr>
          <w:rFonts w:ascii="Times New Roman" w:hAnsi="Times New Roman" w:cs="Times New Roman"/>
          <w:sz w:val="24"/>
          <w:szCs w:val="24"/>
        </w:rPr>
        <w:t>valamint a gépjárműadóról szóló 1991. évi LXXXII. tö</w:t>
      </w:r>
      <w:r w:rsidR="00667F27">
        <w:rPr>
          <w:rFonts w:ascii="Times New Roman" w:hAnsi="Times New Roman" w:cs="Times New Roman"/>
          <w:sz w:val="24"/>
          <w:szCs w:val="24"/>
        </w:rPr>
        <w:t>rvény 9. § (1) bekezdése szerint,</w:t>
      </w:r>
      <w:r w:rsidR="00976D1E">
        <w:rPr>
          <w:rFonts w:ascii="Times New Roman" w:hAnsi="Times New Roman" w:cs="Times New Roman"/>
          <w:sz w:val="24"/>
          <w:szCs w:val="24"/>
        </w:rPr>
        <w:t xml:space="preserve"> a gépjármű-adóztatással kapcsolatos feladatokat</w:t>
      </w:r>
      <w:r w:rsidR="002B6C4F">
        <w:rPr>
          <w:rFonts w:ascii="Times New Roman" w:hAnsi="Times New Roman" w:cs="Times New Roman"/>
          <w:sz w:val="24"/>
          <w:szCs w:val="24"/>
        </w:rPr>
        <w:t xml:space="preserve"> 2023-ban is (csakúgy, mint 2021-2022-ben)</w:t>
      </w:r>
      <w:r w:rsidR="0099378C">
        <w:rPr>
          <w:rFonts w:ascii="Times New Roman" w:hAnsi="Times New Roman" w:cs="Times New Roman"/>
          <w:sz w:val="24"/>
          <w:szCs w:val="24"/>
        </w:rPr>
        <w:t xml:space="preserve"> az állami adó- és vámhatóság látja el. </w:t>
      </w:r>
    </w:p>
    <w:p w:rsidR="0099378C" w:rsidRDefault="00976D1E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Ebből következik</w:t>
      </w:r>
      <w:r w:rsidR="0099378C">
        <w:rPr>
          <w:rFonts w:ascii="Times New Roman" w:hAnsi="Times New Roman" w:cs="Times New Roman"/>
          <w:sz w:val="24"/>
          <w:szCs w:val="24"/>
        </w:rPr>
        <w:t xml:space="preserve">, hogy 2021-től Önkormányzatunk </w:t>
      </w:r>
      <w:r>
        <w:rPr>
          <w:rFonts w:ascii="Times New Roman" w:hAnsi="Times New Roman" w:cs="Times New Roman"/>
          <w:sz w:val="24"/>
          <w:szCs w:val="24"/>
        </w:rPr>
        <w:t xml:space="preserve">évi </w:t>
      </w:r>
      <w:r w:rsidR="0099378C">
        <w:rPr>
          <w:rFonts w:ascii="Times New Roman" w:hAnsi="Times New Roman" w:cs="Times New Roman"/>
          <w:sz w:val="24"/>
          <w:szCs w:val="24"/>
        </w:rPr>
        <w:t>330-350 millió forint gépjárműadó bevétellel</w:t>
      </w:r>
      <w:r w:rsidR="001E6E36">
        <w:rPr>
          <w:rFonts w:ascii="Times New Roman" w:hAnsi="Times New Roman" w:cs="Times New Roman"/>
          <w:sz w:val="24"/>
          <w:szCs w:val="24"/>
        </w:rPr>
        <w:t xml:space="preserve"> nem tud</w:t>
      </w:r>
      <w:r w:rsidR="00062FCA">
        <w:rPr>
          <w:rFonts w:ascii="Times New Roman" w:hAnsi="Times New Roman" w:cs="Times New Roman"/>
          <w:sz w:val="24"/>
          <w:szCs w:val="24"/>
        </w:rPr>
        <w:t>ott, illetve</w:t>
      </w:r>
      <w:r w:rsidR="00667F27">
        <w:rPr>
          <w:rFonts w:ascii="Times New Roman" w:hAnsi="Times New Roman" w:cs="Times New Roman"/>
          <w:sz w:val="24"/>
          <w:szCs w:val="24"/>
        </w:rPr>
        <w:t xml:space="preserve"> a jövőben sem</w:t>
      </w:r>
      <w:r w:rsidR="00062FCA">
        <w:rPr>
          <w:rFonts w:ascii="Times New Roman" w:hAnsi="Times New Roman" w:cs="Times New Roman"/>
          <w:sz w:val="24"/>
          <w:szCs w:val="24"/>
        </w:rPr>
        <w:t xml:space="preserve"> tud</w:t>
      </w:r>
      <w:r w:rsidR="001E6E36">
        <w:rPr>
          <w:rFonts w:ascii="Times New Roman" w:hAnsi="Times New Roman" w:cs="Times New Roman"/>
          <w:sz w:val="24"/>
          <w:szCs w:val="24"/>
        </w:rPr>
        <w:t xml:space="preserve"> tervezni</w:t>
      </w:r>
      <w:r w:rsidR="009937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(Emellett az idegenforgalmi a</w:t>
      </w:r>
      <w:r w:rsidR="00667F27">
        <w:rPr>
          <w:rFonts w:ascii="Times New Roman" w:hAnsi="Times New Roman" w:cs="Times New Roman"/>
          <w:sz w:val="24"/>
          <w:szCs w:val="24"/>
        </w:rPr>
        <w:t>dóbevételünk is csak 60%</w:t>
      </w:r>
      <w:r w:rsidR="00AA4C97">
        <w:rPr>
          <w:rFonts w:ascii="Times New Roman" w:hAnsi="Times New Roman" w:cs="Times New Roman"/>
          <w:sz w:val="24"/>
          <w:szCs w:val="24"/>
        </w:rPr>
        <w:t xml:space="preserve">-a </w:t>
      </w:r>
      <w:r w:rsidR="001E657B">
        <w:rPr>
          <w:rFonts w:ascii="Times New Roman" w:hAnsi="Times New Roman" w:cs="Times New Roman"/>
          <w:sz w:val="24"/>
          <w:szCs w:val="24"/>
        </w:rPr>
        <w:t>2020-at megelőző időszak bevételeinek</w:t>
      </w:r>
      <w:r w:rsidR="00667F27">
        <w:rPr>
          <w:rFonts w:ascii="Times New Roman" w:hAnsi="Times New Roman" w:cs="Times New Roman"/>
          <w:sz w:val="24"/>
          <w:szCs w:val="24"/>
        </w:rPr>
        <w:t>, vagyis közel 50 millió forinttal kevesebb</w:t>
      </w:r>
      <w:r w:rsidR="001E657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67AA3" w:rsidRPr="00B67AA3" w:rsidRDefault="00B67AA3" w:rsidP="00B67AA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7AA3">
        <w:rPr>
          <w:rFonts w:ascii="Times New Roman" w:hAnsi="Times New Roman" w:cs="Times New Roman"/>
          <w:sz w:val="24"/>
          <w:szCs w:val="24"/>
        </w:rPr>
        <w:t>Emellett kiemelendő, hogy a világjárvány enyhülését követően az ahhoz kapcsolódó, az önkormányzati területet érintő számos korábbi korlátozás megszűnt, illetve megszűnik: véget ért az önkormányzati díjemelési moratórium, az önkormányzatok döntésük alapján élni tudnak a díjmeghatározás lehetőségével, továbbá jövő évtől az iparűzési adó a korábbi szabályozással egyező módon teljes mértékben beszedhető. Ezek az intézkedések növelik az önkormányzatok gazdálkodási mozgásterét és hozzájárulnak a megnövekedett kiadások fedezéséhez.</w:t>
      </w:r>
      <w:r w:rsidRPr="00B67AA3">
        <w:rPr>
          <w:rFonts w:ascii="Times New Roman" w:hAnsi="Times New Roman" w:cs="Times New Roman"/>
          <w:sz w:val="24"/>
          <w:szCs w:val="24"/>
        </w:rPr>
        <w:br/>
      </w:r>
      <w:r w:rsidRPr="00B67AA3">
        <w:rPr>
          <w:rFonts w:ascii="Times New Roman" w:hAnsi="Times New Roman" w:cs="Times New Roman"/>
          <w:sz w:val="24"/>
          <w:szCs w:val="24"/>
        </w:rPr>
        <w:br/>
        <w:t>A fentiek azok az intézkedések, amelyek Balla György miniszteri biztos úr önkormányzatoknak címzett levelében, mint közvetetten az energiaköltségek viseléséhez kapcsolódó intézkedésként szerepelnek.</w:t>
      </w:r>
      <w:r>
        <w:rPr>
          <w:rFonts w:ascii="Times New Roman" w:hAnsi="Times New Roman" w:cs="Times New Roman"/>
          <w:sz w:val="24"/>
          <w:szCs w:val="24"/>
        </w:rPr>
        <w:t xml:space="preserve"> (p</w:t>
      </w:r>
      <w:r w:rsidRPr="00B67AA3">
        <w:rPr>
          <w:rFonts w:ascii="Times New Roman" w:hAnsi="Times New Roman" w:cs="Times New Roman"/>
          <w:sz w:val="24"/>
          <w:szCs w:val="24"/>
        </w:rPr>
        <w:t xml:space="preserve">l. térítési díjemelés, egyéb területeken kiadások visszafogása, vagyonértékesítés a bevételek növelése érdekében stb.) </w:t>
      </w:r>
    </w:p>
    <w:p w:rsidR="00F52EAE" w:rsidRDefault="00976D1E" w:rsidP="00B67AA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1E657B">
        <w:rPr>
          <w:rFonts w:ascii="Times New Roman" w:hAnsi="Times New Roman" w:cs="Times New Roman"/>
          <w:sz w:val="24"/>
          <w:szCs w:val="24"/>
        </w:rPr>
        <w:t xml:space="preserve"> elmúlt évhez hasonlóan idén is</w:t>
      </w:r>
      <w:r>
        <w:rPr>
          <w:rFonts w:ascii="Times New Roman" w:hAnsi="Times New Roman" w:cs="Times New Roman"/>
          <w:sz w:val="24"/>
          <w:szCs w:val="24"/>
        </w:rPr>
        <w:t xml:space="preserve"> kiemelt feladatul tűztük ki a nem adózott ingatlanok felderítését</w:t>
      </w:r>
      <w:r w:rsidR="00062FCA">
        <w:rPr>
          <w:rFonts w:ascii="Times New Roman" w:hAnsi="Times New Roman" w:cs="Times New Roman"/>
          <w:sz w:val="24"/>
          <w:szCs w:val="24"/>
        </w:rPr>
        <w:t>, amelyet a jövő évben is folytatni kívánunk. E</w:t>
      </w:r>
      <w:r>
        <w:rPr>
          <w:rFonts w:ascii="Times New Roman" w:hAnsi="Times New Roman" w:cs="Times New Roman"/>
          <w:sz w:val="24"/>
          <w:szCs w:val="24"/>
        </w:rPr>
        <w:t xml:space="preserve"> téren jelentős eredményeket értünk el (100 millió forint felett az ilyen ingatlanok után</w:t>
      </w:r>
      <w:r w:rsidR="00062FCA">
        <w:rPr>
          <w:rFonts w:ascii="Times New Roman" w:hAnsi="Times New Roman" w:cs="Times New Roman"/>
          <w:sz w:val="24"/>
          <w:szCs w:val="24"/>
        </w:rPr>
        <w:t xml:space="preserve"> utólag</w:t>
      </w:r>
      <w:r>
        <w:rPr>
          <w:rFonts w:ascii="Times New Roman" w:hAnsi="Times New Roman" w:cs="Times New Roman"/>
          <w:sz w:val="24"/>
          <w:szCs w:val="24"/>
        </w:rPr>
        <w:t xml:space="preserve"> kivetett adó </w:t>
      </w:r>
      <w:r w:rsidR="004266B3">
        <w:rPr>
          <w:rFonts w:ascii="Times New Roman" w:hAnsi="Times New Roman" w:cs="Times New Roman"/>
          <w:sz w:val="24"/>
          <w:szCs w:val="24"/>
        </w:rPr>
        <w:t>összege), azonban ez nem pótolja a kiesett bevételeket,</w:t>
      </w:r>
      <w:r w:rsidR="001E657B">
        <w:rPr>
          <w:rFonts w:ascii="Times New Roman" w:hAnsi="Times New Roman" w:cs="Times New Roman"/>
          <w:sz w:val="24"/>
          <w:szCs w:val="24"/>
        </w:rPr>
        <w:t xml:space="preserve"> ráadásul évről évre csökken a felderíthető ingatlanok száma,</w:t>
      </w:r>
      <w:r w:rsidR="004266B3">
        <w:rPr>
          <w:rFonts w:ascii="Times New Roman" w:hAnsi="Times New Roman" w:cs="Times New Roman"/>
          <w:sz w:val="24"/>
          <w:szCs w:val="24"/>
        </w:rPr>
        <w:t xml:space="preserve"> így szükségessé vált</w:t>
      </w:r>
      <w:r w:rsidR="00040ABB">
        <w:rPr>
          <w:rFonts w:ascii="Times New Roman" w:hAnsi="Times New Roman" w:cs="Times New Roman"/>
          <w:sz w:val="24"/>
          <w:szCs w:val="24"/>
        </w:rPr>
        <w:t xml:space="preserve"> a helyi adóink mértékének felülvizsgálata. </w:t>
      </w:r>
      <w:r w:rsidR="00F52EAE">
        <w:rPr>
          <w:rFonts w:ascii="Times New Roman" w:hAnsi="Times New Roman" w:cs="Times New Roman"/>
          <w:sz w:val="24"/>
          <w:szCs w:val="24"/>
        </w:rPr>
        <w:t>Ezek jelenleg az alábbiak:</w:t>
      </w:r>
    </w:p>
    <w:p w:rsidR="00B67AA3" w:rsidRDefault="00B67AA3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2EAE" w:rsidRPr="00F52EAE" w:rsidRDefault="00F52EAE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Az építményadó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mértéke: 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1 600 Ft/m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52EAE" w:rsidRPr="00F52EAE" w:rsidRDefault="00F52EAE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EAE" w:rsidRPr="00F52EAE" w:rsidRDefault="00F52EAE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A műtermek, illetve a gépjárműtárolók adómértéke:</w:t>
      </w:r>
    </w:p>
    <w:p w:rsidR="00F52EAE" w:rsidRPr="00F52EAE" w:rsidRDefault="00F52EAE" w:rsidP="00F52EAE">
      <w:pPr>
        <w:numPr>
          <w:ilvl w:val="1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műtermek 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esetén 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270 Ft/m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/év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, ha adózó tagja valamely képzőművészeti vagy alkotóművészeti szövetségnek;</w:t>
      </w:r>
    </w:p>
    <w:p w:rsidR="00F52EAE" w:rsidRPr="00F52EAE" w:rsidRDefault="00F52EAE" w:rsidP="00F52EAE">
      <w:pPr>
        <w:numPr>
          <w:ilvl w:val="1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gépjárműtárolók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300 Ft/m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/év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mértékkel adóznak</w:t>
      </w:r>
      <w:r w:rsidR="002A7D7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egész évben gépjármű-tárolásra használják, vállalkozási célt nem szolgál és annak tulajdonosa /ingatlan-nyilvántartásba bejegyzett vagyoni értékű jog jogosultja 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magánszemély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illetve a 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társasházi 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 tulajdonban álló, műszakilag osztatlan 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gépjárműtároló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társasházban lévő lakásokra jutó tulajdon mértékéig;</w:t>
      </w:r>
    </w:p>
    <w:p w:rsidR="00F52EAE" w:rsidRPr="00F52EAE" w:rsidRDefault="00F52EAE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2EAE" w:rsidRPr="00F52EAE" w:rsidRDefault="00F52EAE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magánszemély kommunális adója 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esetén, ha a lakás (lakásbérlemény) kiegészítő helyiségek nélküli hasznos alapterülete:</w:t>
      </w:r>
    </w:p>
    <w:p w:rsidR="00F52EAE" w:rsidRPr="00F52EAE" w:rsidRDefault="00F52EAE" w:rsidP="00F52EAE">
      <w:pPr>
        <w:numPr>
          <w:ilvl w:val="0"/>
          <w:numId w:val="8"/>
        </w:numPr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a 80 m</w:t>
      </w:r>
      <w:r w:rsidRPr="00F52E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-t nem haladja meg: 9 000 Ft/év; </w:t>
      </w:r>
    </w:p>
    <w:p w:rsidR="00F52EAE" w:rsidRPr="00F52EAE" w:rsidRDefault="00F52EAE" w:rsidP="00F52EAE">
      <w:pPr>
        <w:numPr>
          <w:ilvl w:val="0"/>
          <w:numId w:val="8"/>
        </w:numPr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nagyobb, mint 80 m</w:t>
      </w:r>
      <w:r w:rsidRPr="00F52E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, de nem haladja meg a 100m</w:t>
      </w:r>
      <w:r w:rsidRPr="00F52E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-t: 16 000 Ft/év;</w:t>
      </w:r>
    </w:p>
    <w:p w:rsidR="00F52EAE" w:rsidRPr="00F52EAE" w:rsidRDefault="00F52EAE" w:rsidP="00F52EAE">
      <w:pPr>
        <w:numPr>
          <w:ilvl w:val="0"/>
          <w:numId w:val="8"/>
        </w:numPr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nagyobb, mint 100 m</w:t>
      </w:r>
      <w:r w:rsidRPr="00F52E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: 25 000 Ft/év;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52EAE" w:rsidRPr="00F52EAE" w:rsidRDefault="00F52EAE" w:rsidP="00F52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2EAE" w:rsidRPr="00F52EAE" w:rsidRDefault="00F52EAE" w:rsidP="00F52EA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III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Az idegenforgalmi adó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vonatkozásában:</w:t>
      </w:r>
    </w:p>
    <w:p w:rsidR="00F52EAE" w:rsidRPr="00F52EAE" w:rsidRDefault="00F52EAE" w:rsidP="00F52E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adó alapja: a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52EA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megkezdett vendégéjszakák száma </w:t>
      </w:r>
      <w:r w:rsidRPr="00F52EA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(vendégként eltöltött – éjszakát is magában foglaló vagy így elszámolt – legfeljebb 24 óra)</w:t>
      </w:r>
      <w:r w:rsidRPr="00F52EA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</w:p>
    <w:p w:rsidR="00F52EAE" w:rsidRPr="00F52EAE" w:rsidRDefault="00F52EAE" w:rsidP="00F52EA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adó mértéke: </w:t>
      </w:r>
      <w:r w:rsidRPr="00F52EAE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személyenként és vendégéjszakánként</w:t>
      </w:r>
      <w:r w:rsidRPr="00F52E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350 forint.</w:t>
      </w:r>
    </w:p>
    <w:p w:rsidR="00FB4F8D" w:rsidRDefault="00FB4F8D" w:rsidP="00F243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3B8" w:rsidRDefault="00040ABB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magánsz</w:t>
      </w:r>
      <w:r w:rsidR="00ED7108">
        <w:rPr>
          <w:rFonts w:ascii="Times New Roman" w:hAnsi="Times New Roman" w:cs="Times New Roman"/>
          <w:sz w:val="24"/>
          <w:szCs w:val="24"/>
        </w:rPr>
        <w:t>emély kommunális adója,</w:t>
      </w:r>
      <w:r>
        <w:rPr>
          <w:rFonts w:ascii="Times New Roman" w:hAnsi="Times New Roman" w:cs="Times New Roman"/>
          <w:sz w:val="24"/>
          <w:szCs w:val="24"/>
        </w:rPr>
        <w:t xml:space="preserve"> az idegenforgalmi adó</w:t>
      </w:r>
      <w:r w:rsidR="00ED7108">
        <w:rPr>
          <w:rFonts w:ascii="Times New Roman" w:hAnsi="Times New Roman" w:cs="Times New Roman"/>
          <w:sz w:val="24"/>
          <w:szCs w:val="24"/>
        </w:rPr>
        <w:t>, valamint a magánszemélyek gépjárműtárolója utáni építményadó</w:t>
      </w:r>
      <w:r>
        <w:rPr>
          <w:rFonts w:ascii="Times New Roman" w:hAnsi="Times New Roman" w:cs="Times New Roman"/>
          <w:sz w:val="24"/>
          <w:szCs w:val="24"/>
        </w:rPr>
        <w:t xml:space="preserve"> vonatkozásában</w:t>
      </w:r>
      <w:r w:rsidR="009F6AF5">
        <w:rPr>
          <w:rFonts w:ascii="Times New Roman" w:hAnsi="Times New Roman" w:cs="Times New Roman"/>
          <w:sz w:val="24"/>
          <w:szCs w:val="24"/>
        </w:rPr>
        <w:t>, a jelenlegi gazdasági helyzetre való tekintettel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="00DF12A2">
        <w:rPr>
          <w:rFonts w:ascii="Times New Roman" w:hAnsi="Times New Roman" w:cs="Times New Roman"/>
          <w:sz w:val="24"/>
          <w:szCs w:val="24"/>
        </w:rPr>
        <w:t xml:space="preserve"> adómérték módosítása</w:t>
      </w:r>
      <w:r w:rsidR="00B863B8">
        <w:rPr>
          <w:rFonts w:ascii="Times New Roman" w:hAnsi="Times New Roman" w:cs="Times New Roman"/>
          <w:sz w:val="24"/>
          <w:szCs w:val="24"/>
        </w:rPr>
        <w:t xml:space="preserve"> nem indokolt. </w:t>
      </w:r>
    </w:p>
    <w:p w:rsidR="00040ABB" w:rsidRPr="00040ABB" w:rsidRDefault="00B863B8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40ABB">
        <w:rPr>
          <w:rFonts w:ascii="Times New Roman" w:hAnsi="Times New Roman" w:cs="Times New Roman"/>
          <w:sz w:val="24"/>
          <w:szCs w:val="24"/>
        </w:rPr>
        <w:t>z építményadó 1 600 forint/m</w:t>
      </w:r>
      <w:r w:rsidR="00040A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0ABB">
        <w:rPr>
          <w:rFonts w:ascii="Times New Roman" w:hAnsi="Times New Roman" w:cs="Times New Roman"/>
          <w:sz w:val="24"/>
          <w:szCs w:val="24"/>
        </w:rPr>
        <w:t>/év mértéke</w:t>
      </w:r>
      <w:r w:rsidR="00CD5CD4">
        <w:rPr>
          <w:rFonts w:ascii="Times New Roman" w:hAnsi="Times New Roman" w:cs="Times New Roman"/>
          <w:sz w:val="24"/>
          <w:szCs w:val="24"/>
        </w:rPr>
        <w:t xml:space="preserve"> hét</w:t>
      </w:r>
      <w:r>
        <w:rPr>
          <w:rFonts w:ascii="Times New Roman" w:hAnsi="Times New Roman" w:cs="Times New Roman"/>
          <w:sz w:val="24"/>
          <w:szCs w:val="24"/>
        </w:rPr>
        <w:t xml:space="preserve"> évvel ezelőtt lett megállapítva Budapest Főváros II. Kerületi Önkormányzat Képviselő-testületének 38/2015.(XI.26.) önkormányzati rendeletével. Az azt követő években az adómé</w:t>
      </w:r>
      <w:r w:rsidR="00AA48FA">
        <w:rPr>
          <w:rFonts w:ascii="Times New Roman" w:hAnsi="Times New Roman" w:cs="Times New Roman"/>
          <w:sz w:val="24"/>
          <w:szCs w:val="24"/>
        </w:rPr>
        <w:t>rték nem került megemelésre.</w:t>
      </w:r>
    </w:p>
    <w:p w:rsidR="00AA48FA" w:rsidRPr="00AA48FA" w:rsidRDefault="00AA48FA" w:rsidP="00AA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48F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tábl</w:t>
      </w:r>
      <w:r w:rsidR="008F2D7F">
        <w:rPr>
          <w:rFonts w:ascii="Times New Roman" w:eastAsia="Times New Roman" w:hAnsi="Times New Roman" w:cs="Times New Roman"/>
          <w:sz w:val="24"/>
          <w:szCs w:val="24"/>
          <w:lang w:eastAsia="hu-HU"/>
        </w:rPr>
        <w:t>ázat adónemenként mutatja a 2023</w:t>
      </w:r>
      <w:r w:rsidRPr="00AA48FA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 alkalmazható a</w:t>
      </w:r>
      <w:r w:rsidR="00207638">
        <w:rPr>
          <w:rFonts w:ascii="Times New Roman" w:eastAsia="Times New Roman" w:hAnsi="Times New Roman" w:cs="Times New Roman"/>
          <w:sz w:val="24"/>
          <w:szCs w:val="24"/>
          <w:lang w:eastAsia="hu-HU"/>
        </w:rPr>
        <w:t>dómérték maximumot, illetve 2022</w:t>
      </w:r>
      <w:r w:rsidR="00B36C0D">
        <w:rPr>
          <w:rFonts w:ascii="Times New Roman" w:eastAsia="Times New Roman" w:hAnsi="Times New Roman" w:cs="Times New Roman"/>
          <w:sz w:val="24"/>
          <w:szCs w:val="24"/>
          <w:lang w:eastAsia="hu-HU"/>
        </w:rPr>
        <w:t>-be</w:t>
      </w:r>
      <w:r w:rsidRPr="00AA48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a II. kerületben alkalmazott adómértékeket. </w:t>
      </w:r>
    </w:p>
    <w:p w:rsidR="00AA48FA" w:rsidRPr="00AA48FA" w:rsidRDefault="00AA48FA" w:rsidP="00AA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575"/>
      </w:tblGrid>
      <w:tr w:rsidR="00AA48FA" w:rsidRPr="00AA48FA" w:rsidTr="00AA48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b/>
                <w:lang w:eastAsia="hu-HU"/>
              </w:rPr>
              <w:t>Adónem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8F2D7F" w:rsidP="00AA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Adómaximum 2023</w:t>
            </w:r>
            <w:r w:rsidR="00AA48FA" w:rsidRPr="00AA48FA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="00207638">
              <w:rPr>
                <w:rFonts w:ascii="Times New Roman" w:eastAsia="Times New Roman" w:hAnsi="Times New Roman" w:cs="Times New Roman"/>
                <w:b/>
                <w:lang w:eastAsia="hu-HU"/>
              </w:rPr>
              <w:t>*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b/>
                <w:lang w:eastAsia="hu-HU"/>
              </w:rPr>
              <w:t>II. kerületben alkalmazott mérték</w:t>
            </w:r>
          </w:p>
        </w:tc>
      </w:tr>
      <w:tr w:rsidR="00AA48FA" w:rsidRPr="00AA48FA" w:rsidTr="00AA48FA">
        <w:trPr>
          <w:trHeight w:val="4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Építményadó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8F2D7F" w:rsidP="00AA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2 190</w:t>
            </w:r>
            <w:r w:rsidR="00AA48FA"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Ft/m</w:t>
            </w:r>
            <w:r w:rsidR="00AA48FA" w:rsidRPr="00AA48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270Ft/m</w:t>
            </w: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300Ft/m</w:t>
            </w: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1 600Ft/m</w:t>
            </w: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</w:tr>
      <w:tr w:rsidR="00AA48FA" w:rsidRPr="00AA48FA" w:rsidTr="00AA48FA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Magánszemély kommunális adója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8F2D7F" w:rsidP="00AA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33 859</w:t>
            </w:r>
            <w:r w:rsidR="00AA48FA"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Ft/adótárgy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9 000Ft, 16 000Ft és 25 000Ft /adótárgy</w:t>
            </w:r>
          </w:p>
        </w:tc>
      </w:tr>
      <w:tr w:rsidR="00AA48FA" w:rsidRPr="00AA48FA" w:rsidTr="00AA48FA">
        <w:trPr>
          <w:trHeight w:val="4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Idegenforgalmi adó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8F2D7F" w:rsidP="00AA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597</w:t>
            </w:r>
            <w:r w:rsidR="00AA48FA"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Ft/fő/vendégéjszaka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FA" w:rsidRPr="00AA48FA" w:rsidRDefault="00AA48FA" w:rsidP="00AA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8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 Ft/fő/vendégéjszaka</w:t>
            </w:r>
          </w:p>
        </w:tc>
      </w:tr>
    </w:tbl>
    <w:p w:rsidR="00207638" w:rsidRPr="00207638" w:rsidRDefault="00207638" w:rsidP="0020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076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*</w:t>
      </w:r>
      <w:r w:rsidR="008F2D7F">
        <w:rPr>
          <w:rFonts w:ascii="Times New Roman" w:eastAsia="Times New Roman" w:hAnsi="Times New Roman" w:cs="Times New Roman"/>
          <w:sz w:val="20"/>
          <w:szCs w:val="20"/>
          <w:lang w:eastAsia="hu-HU"/>
        </w:rPr>
        <w:t>A 2023</w:t>
      </w:r>
      <w:r w:rsidRPr="00207638">
        <w:rPr>
          <w:rFonts w:ascii="Times New Roman" w:eastAsia="Times New Roman" w:hAnsi="Times New Roman" w:cs="Times New Roman"/>
          <w:sz w:val="20"/>
          <w:szCs w:val="20"/>
          <w:lang w:eastAsia="hu-HU"/>
        </w:rPr>
        <w:t>. évre az adómérték befagyas</w:t>
      </w:r>
      <w:r w:rsidR="008F2D7F">
        <w:rPr>
          <w:rFonts w:ascii="Times New Roman" w:eastAsia="Times New Roman" w:hAnsi="Times New Roman" w:cs="Times New Roman"/>
          <w:sz w:val="20"/>
          <w:szCs w:val="20"/>
          <w:lang w:eastAsia="hu-HU"/>
        </w:rPr>
        <w:t>ztása végett a PM részéről hivatalos</w:t>
      </w:r>
      <w:r w:rsidRPr="0020763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tájékoztató</w:t>
      </w:r>
      <w:r w:rsidR="008F2D7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még</w:t>
      </w:r>
      <w:r w:rsidRPr="0020763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nem került kiadásra</w:t>
      </w:r>
      <w:r w:rsidR="008F2D7F">
        <w:rPr>
          <w:rFonts w:ascii="Times New Roman" w:eastAsia="Times New Roman" w:hAnsi="Times New Roman" w:cs="Times New Roman"/>
          <w:sz w:val="20"/>
          <w:szCs w:val="20"/>
          <w:lang w:eastAsia="hu-HU"/>
        </w:rPr>
        <w:t>, fenti adómaximumok a 2021. évi adómértékek inflációval növelt eredményei.</w:t>
      </w:r>
    </w:p>
    <w:p w:rsidR="00B863B8" w:rsidRDefault="00B863B8" w:rsidP="00F24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8FA" w:rsidRPr="00392B80" w:rsidRDefault="00AA48FA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 w:rsidRPr="00AA48FA">
        <w:rPr>
          <w:rFonts w:ascii="Times New Roman" w:hAnsi="Times New Roman" w:cs="Times New Roman"/>
          <w:sz w:val="24"/>
          <w:szCs w:val="24"/>
        </w:rPr>
        <w:t xml:space="preserve">Mint a táblázatból is kiderül, </w:t>
      </w:r>
      <w:r>
        <w:rPr>
          <w:rFonts w:ascii="Times New Roman" w:hAnsi="Times New Roman" w:cs="Times New Roman"/>
          <w:sz w:val="24"/>
          <w:szCs w:val="24"/>
        </w:rPr>
        <w:t xml:space="preserve">az alkalmazott adómértékeink jelentősen a maximálisan bevezethető mértékek alatt vannak, így a fentebb írottak alapján indokolt az </w:t>
      </w:r>
      <w:r w:rsidR="00AA4C97">
        <w:rPr>
          <w:rFonts w:ascii="Times New Roman" w:hAnsi="Times New Roman" w:cs="Times New Roman"/>
          <w:sz w:val="24"/>
          <w:szCs w:val="24"/>
        </w:rPr>
        <w:t>építményadó mértékének 1 90</w:t>
      </w:r>
      <w:r>
        <w:rPr>
          <w:rFonts w:ascii="Times New Roman" w:hAnsi="Times New Roman" w:cs="Times New Roman"/>
          <w:sz w:val="24"/>
          <w:szCs w:val="24"/>
        </w:rPr>
        <w:t>0 forint/m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-re tö</w:t>
      </w:r>
      <w:r w:rsidR="004266B3">
        <w:rPr>
          <w:rFonts w:ascii="Times New Roman" w:hAnsi="Times New Roman" w:cs="Times New Roman"/>
          <w:sz w:val="24"/>
          <w:szCs w:val="24"/>
        </w:rPr>
        <w:t>rténő megemelése. Ez a jelenleg alkalmazott</w:t>
      </w:r>
      <w:r>
        <w:rPr>
          <w:rFonts w:ascii="Times New Roman" w:hAnsi="Times New Roman" w:cs="Times New Roman"/>
          <w:sz w:val="24"/>
          <w:szCs w:val="24"/>
        </w:rPr>
        <w:t xml:space="preserve"> 1 600 forint/m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66B3">
        <w:rPr>
          <w:rFonts w:ascii="Times New Roman" w:hAnsi="Times New Roman" w:cs="Times New Roman"/>
          <w:sz w:val="24"/>
          <w:szCs w:val="24"/>
        </w:rPr>
        <w:t>-</w:t>
      </w:r>
      <w:r w:rsidR="00AA4C97">
        <w:rPr>
          <w:rFonts w:ascii="Times New Roman" w:hAnsi="Times New Roman" w:cs="Times New Roman"/>
          <w:sz w:val="24"/>
          <w:szCs w:val="24"/>
        </w:rPr>
        <w:t>hez képest 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C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5%-os emelést jelent. </w:t>
      </w:r>
      <w:r w:rsidR="00392B80">
        <w:rPr>
          <w:rFonts w:ascii="Times New Roman" w:hAnsi="Times New Roman" w:cs="Times New Roman"/>
          <w:sz w:val="24"/>
          <w:szCs w:val="24"/>
        </w:rPr>
        <w:t>(Budapest Fővá</w:t>
      </w:r>
      <w:r w:rsidR="00DE0A80">
        <w:rPr>
          <w:rFonts w:ascii="Times New Roman" w:hAnsi="Times New Roman" w:cs="Times New Roman"/>
          <w:sz w:val="24"/>
          <w:szCs w:val="24"/>
        </w:rPr>
        <w:t>ros néhány más kerületeiben 2022</w:t>
      </w:r>
      <w:r w:rsidR="00B36C0D">
        <w:rPr>
          <w:rFonts w:ascii="Times New Roman" w:hAnsi="Times New Roman" w:cs="Times New Roman"/>
          <w:sz w:val="24"/>
          <w:szCs w:val="24"/>
        </w:rPr>
        <w:t>-be</w:t>
      </w:r>
      <w:r w:rsidR="00392B80">
        <w:rPr>
          <w:rFonts w:ascii="Times New Roman" w:hAnsi="Times New Roman" w:cs="Times New Roman"/>
          <w:sz w:val="24"/>
          <w:szCs w:val="24"/>
        </w:rPr>
        <w:t>n alkalmazott adómértékek: III. kerület: 1 951 forint/m</w:t>
      </w:r>
      <w:r w:rsidR="00392B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2B80">
        <w:rPr>
          <w:rFonts w:ascii="Times New Roman" w:hAnsi="Times New Roman" w:cs="Times New Roman"/>
          <w:sz w:val="24"/>
          <w:szCs w:val="24"/>
        </w:rPr>
        <w:t>, V. kerület: 1 850 forint/m</w:t>
      </w:r>
      <w:r w:rsidR="00392B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2B80">
        <w:rPr>
          <w:rFonts w:ascii="Times New Roman" w:hAnsi="Times New Roman" w:cs="Times New Roman"/>
          <w:sz w:val="24"/>
          <w:szCs w:val="24"/>
        </w:rPr>
        <w:t>, XII. kerület: 1 930 forint/m</w:t>
      </w:r>
      <w:r w:rsidR="00392B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2B80">
        <w:rPr>
          <w:rFonts w:ascii="Times New Roman" w:hAnsi="Times New Roman" w:cs="Times New Roman"/>
          <w:sz w:val="24"/>
          <w:szCs w:val="24"/>
        </w:rPr>
        <w:t>, XIII. kerület: 1 740 forint/m</w:t>
      </w:r>
      <w:r w:rsidR="00392B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2B80">
        <w:rPr>
          <w:rFonts w:ascii="Times New Roman" w:hAnsi="Times New Roman" w:cs="Times New Roman"/>
          <w:sz w:val="24"/>
          <w:szCs w:val="24"/>
        </w:rPr>
        <w:t>.)</w:t>
      </w:r>
    </w:p>
    <w:p w:rsidR="00AA48FA" w:rsidRDefault="00392B80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adómérték emelésének vállalkozásokat érintő hatásait - tek</w:t>
      </w:r>
      <w:r w:rsidR="001E19B4">
        <w:rPr>
          <w:rFonts w:ascii="Times New Roman" w:hAnsi="Times New Roman" w:cs="Times New Roman"/>
          <w:sz w:val="24"/>
          <w:szCs w:val="24"/>
        </w:rPr>
        <w:t>i</w:t>
      </w:r>
      <w:r w:rsidR="00DE0A80">
        <w:rPr>
          <w:rFonts w:ascii="Times New Roman" w:hAnsi="Times New Roman" w:cs="Times New Roman"/>
          <w:sz w:val="24"/>
          <w:szCs w:val="24"/>
        </w:rPr>
        <w:t>ntettel a jelenlegi</w:t>
      </w:r>
      <w:r w:rsidR="004266B3">
        <w:rPr>
          <w:rFonts w:ascii="Times New Roman" w:hAnsi="Times New Roman" w:cs="Times New Roman"/>
          <w:sz w:val="24"/>
          <w:szCs w:val="24"/>
        </w:rPr>
        <w:t xml:space="preserve"> gazdasági helyzetre</w:t>
      </w:r>
      <w:r w:rsidR="002C2A21">
        <w:rPr>
          <w:rFonts w:ascii="Times New Roman" w:hAnsi="Times New Roman" w:cs="Times New Roman"/>
          <w:sz w:val="24"/>
          <w:szCs w:val="24"/>
        </w:rPr>
        <w:t xml:space="preserve"> és a </w:t>
      </w:r>
      <w:r>
        <w:rPr>
          <w:rFonts w:ascii="Times New Roman" w:hAnsi="Times New Roman" w:cs="Times New Roman"/>
          <w:sz w:val="24"/>
          <w:szCs w:val="24"/>
        </w:rPr>
        <w:t>központi szabályozás</w:t>
      </w:r>
      <w:r w:rsidR="00B3334D">
        <w:rPr>
          <w:rFonts w:ascii="Times New Roman" w:hAnsi="Times New Roman" w:cs="Times New Roman"/>
          <w:sz w:val="24"/>
          <w:szCs w:val="24"/>
        </w:rPr>
        <w:t xml:space="preserve">ok változásaira </w:t>
      </w:r>
      <w:r w:rsidR="002C2A21">
        <w:rPr>
          <w:rFonts w:ascii="Times New Roman" w:hAnsi="Times New Roman" w:cs="Times New Roman"/>
          <w:sz w:val="24"/>
          <w:szCs w:val="24"/>
        </w:rPr>
        <w:t>is - folyamatosan figyelemmel kísérjük.</w:t>
      </w:r>
    </w:p>
    <w:p w:rsidR="009C5AA8" w:rsidRDefault="009C5AA8" w:rsidP="00F24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4E8" w:rsidRDefault="00F671D3" w:rsidP="00F24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módosítás</w:t>
      </w:r>
      <w:r w:rsidR="009F24E8" w:rsidRPr="009F24E8">
        <w:rPr>
          <w:rFonts w:ascii="Times New Roman" w:hAnsi="Times New Roman" w:cs="Times New Roman"/>
          <w:b/>
          <w:sz w:val="24"/>
          <w:szCs w:val="24"/>
        </w:rPr>
        <w:t xml:space="preserve"> költségvetést érintő hatása:</w:t>
      </w:r>
    </w:p>
    <w:p w:rsidR="00F671D3" w:rsidRDefault="00AA4C97" w:rsidP="00613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18</w:t>
      </w:r>
      <w:r w:rsidR="00F671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="00F671D3">
        <w:rPr>
          <w:rFonts w:ascii="Times New Roman" w:hAnsi="Times New Roman" w:cs="Times New Roman"/>
          <w:sz w:val="24"/>
          <w:szCs w:val="24"/>
        </w:rPr>
        <w:t>5%-os adómérték emelés a nagyjából 1,6</w:t>
      </w:r>
      <w:r w:rsidR="004F3495">
        <w:rPr>
          <w:rFonts w:ascii="Times New Roman" w:hAnsi="Times New Roman" w:cs="Times New Roman"/>
          <w:sz w:val="24"/>
          <w:szCs w:val="24"/>
        </w:rPr>
        <w:t>3</w:t>
      </w:r>
      <w:r w:rsidR="00F671D3">
        <w:rPr>
          <w:rFonts w:ascii="Times New Roman" w:hAnsi="Times New Roman" w:cs="Times New Roman"/>
          <w:sz w:val="24"/>
          <w:szCs w:val="24"/>
        </w:rPr>
        <w:t xml:space="preserve"> milliárd fori</w:t>
      </w:r>
      <w:r>
        <w:rPr>
          <w:rFonts w:ascii="Times New Roman" w:hAnsi="Times New Roman" w:cs="Times New Roman"/>
          <w:sz w:val="24"/>
          <w:szCs w:val="24"/>
        </w:rPr>
        <w:t>nt adóbevétellel számolva 30</w:t>
      </w:r>
      <w:r w:rsidR="00F671D3">
        <w:rPr>
          <w:rFonts w:ascii="Times New Roman" w:hAnsi="Times New Roman" w:cs="Times New Roman"/>
          <w:sz w:val="24"/>
          <w:szCs w:val="24"/>
        </w:rPr>
        <w:t>0 millió forint többletbevétel</w:t>
      </w:r>
      <w:r w:rsidR="00A648F1">
        <w:rPr>
          <w:rFonts w:ascii="Times New Roman" w:hAnsi="Times New Roman" w:cs="Times New Roman"/>
          <w:sz w:val="24"/>
          <w:szCs w:val="24"/>
        </w:rPr>
        <w:t>t</w:t>
      </w:r>
      <w:r w:rsidR="00F671D3">
        <w:rPr>
          <w:rFonts w:ascii="Times New Roman" w:hAnsi="Times New Roman" w:cs="Times New Roman"/>
          <w:sz w:val="24"/>
          <w:szCs w:val="24"/>
        </w:rPr>
        <w:t xml:space="preserve"> ere</w:t>
      </w:r>
      <w:r w:rsidR="009C5AA8">
        <w:rPr>
          <w:rFonts w:ascii="Times New Roman" w:hAnsi="Times New Roman" w:cs="Times New Roman"/>
          <w:sz w:val="24"/>
          <w:szCs w:val="24"/>
        </w:rPr>
        <w:t>dményez, amely az energiaárak változása miatti többlet kiadásainkat részben tudja finanszírozni.</w:t>
      </w:r>
      <w:r w:rsidR="00EE24D4">
        <w:rPr>
          <w:rFonts w:ascii="Times New Roman" w:hAnsi="Times New Roman" w:cs="Times New Roman"/>
          <w:sz w:val="24"/>
          <w:szCs w:val="24"/>
        </w:rPr>
        <w:t xml:space="preserve"> (Az építményadó előirányzat</w:t>
      </w:r>
      <w:r w:rsidR="00F671D3">
        <w:rPr>
          <w:rFonts w:ascii="Times New Roman" w:hAnsi="Times New Roman" w:cs="Times New Roman"/>
          <w:sz w:val="24"/>
          <w:szCs w:val="24"/>
        </w:rPr>
        <w:t xml:space="preserve"> jelenleg 1,7</w:t>
      </w:r>
      <w:r w:rsidR="00DE0A80">
        <w:rPr>
          <w:rFonts w:ascii="Times New Roman" w:hAnsi="Times New Roman" w:cs="Times New Roman"/>
          <w:sz w:val="24"/>
          <w:szCs w:val="24"/>
        </w:rPr>
        <w:t>2</w:t>
      </w:r>
      <w:r w:rsidR="00F671D3">
        <w:rPr>
          <w:rFonts w:ascii="Times New Roman" w:hAnsi="Times New Roman" w:cs="Times New Roman"/>
          <w:sz w:val="24"/>
          <w:szCs w:val="24"/>
        </w:rPr>
        <w:t xml:space="preserve"> milliárd</w:t>
      </w:r>
      <w:r w:rsidR="00AB453B">
        <w:rPr>
          <w:rFonts w:ascii="Times New Roman" w:hAnsi="Times New Roman" w:cs="Times New Roman"/>
          <w:sz w:val="24"/>
          <w:szCs w:val="24"/>
        </w:rPr>
        <w:t xml:space="preserve"> forint</w:t>
      </w:r>
      <w:r w:rsidR="00F671D3">
        <w:rPr>
          <w:rFonts w:ascii="Times New Roman" w:hAnsi="Times New Roman" w:cs="Times New Roman"/>
          <w:sz w:val="24"/>
          <w:szCs w:val="24"/>
        </w:rPr>
        <w:t>, de ebben benne van a magánszemély tulajdonában lévő g</w:t>
      </w:r>
      <w:r w:rsidR="005A4783">
        <w:rPr>
          <w:rFonts w:ascii="Times New Roman" w:hAnsi="Times New Roman" w:cs="Times New Roman"/>
          <w:sz w:val="24"/>
          <w:szCs w:val="24"/>
        </w:rPr>
        <w:t>ará</w:t>
      </w:r>
      <w:r w:rsidR="00DE0A80">
        <w:rPr>
          <w:rFonts w:ascii="Times New Roman" w:hAnsi="Times New Roman" w:cs="Times New Roman"/>
          <w:sz w:val="24"/>
          <w:szCs w:val="24"/>
        </w:rPr>
        <w:t>zs utáni építményadó összege (85</w:t>
      </w:r>
      <w:r w:rsidR="005A4783">
        <w:rPr>
          <w:rFonts w:ascii="Times New Roman" w:hAnsi="Times New Roman" w:cs="Times New Roman"/>
          <w:sz w:val="24"/>
          <w:szCs w:val="24"/>
        </w:rPr>
        <w:t xml:space="preserve"> millió forint),</w:t>
      </w:r>
      <w:r w:rsidR="00ED7108">
        <w:rPr>
          <w:rFonts w:ascii="Times New Roman" w:hAnsi="Times New Roman" w:cs="Times New Roman"/>
          <w:sz w:val="24"/>
          <w:szCs w:val="24"/>
        </w:rPr>
        <w:t xml:space="preserve"> amelynek mértékét változatlanul hagyjuk</w:t>
      </w:r>
      <w:r w:rsidR="00F671D3">
        <w:rPr>
          <w:rFonts w:ascii="Times New Roman" w:hAnsi="Times New Roman" w:cs="Times New Roman"/>
          <w:sz w:val="24"/>
          <w:szCs w:val="24"/>
        </w:rPr>
        <w:t>.</w:t>
      </w:r>
      <w:r w:rsidR="00F80AF0">
        <w:rPr>
          <w:rFonts w:ascii="Times New Roman" w:hAnsi="Times New Roman" w:cs="Times New Roman"/>
          <w:sz w:val="24"/>
          <w:szCs w:val="24"/>
        </w:rPr>
        <w:t>)</w:t>
      </w:r>
      <w:r w:rsidR="00F67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087" w:rsidRDefault="004F3495" w:rsidP="00613B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Így a 2023</w:t>
      </w:r>
      <w:r w:rsidR="005A4783">
        <w:rPr>
          <w:rFonts w:ascii="Times New Roman" w:hAnsi="Times New Roman" w:cs="Times New Roman"/>
          <w:sz w:val="24"/>
          <w:szCs w:val="24"/>
        </w:rPr>
        <w:t>. évben nagyjából</w:t>
      </w:r>
      <w:r w:rsidR="00AA4C97">
        <w:rPr>
          <w:rFonts w:ascii="Times New Roman" w:hAnsi="Times New Roman" w:cs="Times New Roman"/>
          <w:sz w:val="24"/>
          <w:szCs w:val="24"/>
        </w:rPr>
        <w:t xml:space="preserve"> 2</w:t>
      </w:r>
      <w:r w:rsidR="00BE670C">
        <w:rPr>
          <w:rFonts w:ascii="Times New Roman" w:hAnsi="Times New Roman" w:cs="Times New Roman"/>
          <w:sz w:val="24"/>
          <w:szCs w:val="24"/>
        </w:rPr>
        <w:t xml:space="preserve"> milliárd forint</w:t>
      </w:r>
      <w:r w:rsidR="00F671D3">
        <w:rPr>
          <w:rFonts w:ascii="Times New Roman" w:hAnsi="Times New Roman" w:cs="Times New Roman"/>
          <w:sz w:val="24"/>
          <w:szCs w:val="24"/>
        </w:rPr>
        <w:t xml:space="preserve"> építményadó bevétellel tudunk tervezni.  </w:t>
      </w:r>
    </w:p>
    <w:p w:rsidR="00FB4F8D" w:rsidRDefault="00FB4F8D" w:rsidP="00FB4F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4F8D" w:rsidRPr="001218FD" w:rsidRDefault="00FB4F8D" w:rsidP="00FB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 Tisztelt Képviselő-testületet az előterjesztés megtárgyalására és az előterjesztésben részletezett változtatások figyelembevételével elkészített rendeletmódosítási javaslatnak megfelelően a rendelet megalkotására. </w:t>
      </w:r>
    </w:p>
    <w:p w:rsidR="00C90B4B" w:rsidRDefault="00C90B4B" w:rsidP="00C90B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4F8D" w:rsidRPr="001218FD" w:rsidRDefault="00FB4F8D" w:rsidP="00C90B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</w:t>
      </w:r>
      <w:r w:rsidR="00D66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tervezetet megtárgyaló bizottság véleményét a Képviselő-testület ülésén ismerteti. </w:t>
      </w:r>
    </w:p>
    <w:p w:rsidR="00C90B4B" w:rsidRDefault="00C90B4B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6</w:t>
      </w:r>
      <w:r w:rsidR="00FB4F8D" w:rsidRP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oldalon kezdődő rendelet elfogadása minősített többségű szavazást igényel. </w:t>
      </w:r>
    </w:p>
    <w:p w:rsidR="00D66985" w:rsidRDefault="00D66985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18FD" w:rsidRPr="007D3A70" w:rsidRDefault="009A14FA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3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 2022. november</w:t>
      </w:r>
      <w:r w:rsidR="00A648F1" w:rsidRPr="007D3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66985" w:rsidRPr="007D3A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14.</w:t>
      </w:r>
    </w:p>
    <w:p w:rsidR="001218FD" w:rsidRDefault="001218FD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B4B" w:rsidRDefault="00C90B4B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18FD" w:rsidRPr="00A01458" w:rsidRDefault="00A01458" w:rsidP="00FB4F8D">
      <w:pPr>
        <w:spacing w:before="120"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Varga Előd Bendegúz</w:t>
      </w:r>
    </w:p>
    <w:p w:rsidR="00F52EAE" w:rsidRPr="00A01458" w:rsidRDefault="001218FD" w:rsidP="00FB4F8D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A01458" w:rsidRP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A01458" w:rsidRP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01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BE1940" w:rsidRDefault="00BE1940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C90B4B" w:rsidRDefault="00C90B4B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:rsidR="00773B7F" w:rsidRDefault="00773B7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C90B4B" w:rsidRDefault="00C90B4B" w:rsidP="00C90B4B">
      <w:pPr>
        <w:spacing w:line="256" w:lineRule="auto"/>
        <w:rPr>
          <w:rFonts w:ascii="Times New Roman" w:eastAsia="Calibri" w:hAnsi="Times New Roman" w:cs="Times New Roman"/>
          <w:b/>
        </w:rPr>
      </w:pPr>
    </w:p>
    <w:p w:rsidR="00224853" w:rsidRPr="00224853" w:rsidRDefault="00224853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224853">
        <w:rPr>
          <w:rFonts w:ascii="Times New Roman" w:eastAsia="Calibri" w:hAnsi="Times New Roman" w:cs="Times New Roman"/>
          <w:b/>
        </w:rPr>
        <w:t>Budapest Főváros II. Kerületi Önkormányz</w:t>
      </w:r>
      <w:r w:rsidR="00172564">
        <w:rPr>
          <w:rFonts w:ascii="Times New Roman" w:eastAsia="Calibri" w:hAnsi="Times New Roman" w:cs="Times New Roman"/>
          <w:b/>
        </w:rPr>
        <w:t xml:space="preserve">at </w:t>
      </w:r>
      <w:proofErr w:type="gramStart"/>
      <w:r w:rsidR="00172564">
        <w:rPr>
          <w:rFonts w:ascii="Times New Roman" w:eastAsia="Calibri" w:hAnsi="Times New Roman" w:cs="Times New Roman"/>
          <w:b/>
        </w:rPr>
        <w:t>Képviselő-testületének …</w:t>
      </w:r>
      <w:proofErr w:type="gramEnd"/>
      <w:r w:rsidR="00172564">
        <w:rPr>
          <w:rFonts w:ascii="Times New Roman" w:eastAsia="Calibri" w:hAnsi="Times New Roman" w:cs="Times New Roman"/>
          <w:b/>
        </w:rPr>
        <w:t>/2022</w:t>
      </w:r>
      <w:r w:rsidRPr="00224853">
        <w:rPr>
          <w:rFonts w:ascii="Times New Roman" w:eastAsia="Calibri" w:hAnsi="Times New Roman" w:cs="Times New Roman"/>
          <w:b/>
        </w:rPr>
        <w:t>. (…) önkormányzati</w:t>
      </w:r>
      <w:r w:rsidR="002F573E">
        <w:rPr>
          <w:rFonts w:ascii="Times New Roman" w:eastAsia="Calibri" w:hAnsi="Times New Roman" w:cs="Times New Roman"/>
          <w:b/>
        </w:rPr>
        <w:t xml:space="preserve"> rendelete az építményadóról és a magánszemélyek kommunális adójáról szóló 57/1996.(XII. 23</w:t>
      </w:r>
      <w:r w:rsidRPr="00224853">
        <w:rPr>
          <w:rFonts w:ascii="Times New Roman" w:eastAsia="Calibri" w:hAnsi="Times New Roman" w:cs="Times New Roman"/>
          <w:b/>
        </w:rPr>
        <w:t>.) önkormányzati rendelet módosításáról</w:t>
      </w:r>
    </w:p>
    <w:p w:rsidR="00224853" w:rsidRDefault="00224853" w:rsidP="00224853">
      <w:pPr>
        <w:spacing w:line="256" w:lineRule="auto"/>
        <w:rPr>
          <w:rFonts w:ascii="Times New Roman" w:eastAsia="Calibri" w:hAnsi="Times New Roman" w:cs="Times New Roman"/>
          <w:sz w:val="20"/>
        </w:rPr>
      </w:pPr>
    </w:p>
    <w:p w:rsidR="00FD7183" w:rsidRPr="00224853" w:rsidRDefault="00FD7183" w:rsidP="00224853">
      <w:pPr>
        <w:spacing w:line="256" w:lineRule="auto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4853" w:rsidRPr="00224853" w:rsidTr="002A6BD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Jelenlegi szabályozás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Javasolt módosítás</w:t>
            </w:r>
          </w:p>
        </w:tc>
      </w:tr>
      <w:tr w:rsidR="00224853" w:rsidRPr="00224853" w:rsidTr="002A6BD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FD7183" w:rsidRPr="00224853" w:rsidRDefault="00FD718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C736BF" w:rsidRDefault="00C736BF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Default="00557B93" w:rsidP="00557B9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. §</w:t>
            </w:r>
          </w:p>
          <w:p w:rsidR="00557B93" w:rsidRDefault="00557B93" w:rsidP="00557B9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557B93" w:rsidRDefault="00557B93" w:rsidP="00557B93">
            <w:pPr>
              <w:spacing w:line="256" w:lineRule="auto"/>
              <w:ind w:left="475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557B93" w:rsidRDefault="00557B93" w:rsidP="00557B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D6851">
              <w:rPr>
                <w:rFonts w:ascii="Times New Roman" w:eastAsia="Calibri" w:hAnsi="Times New Roman" w:cs="Times New Roman"/>
                <w:sz w:val="20"/>
              </w:rPr>
              <w:t xml:space="preserve">  (2) Az </w:t>
            </w:r>
            <w:r>
              <w:rPr>
                <w:rFonts w:ascii="Times New Roman" w:eastAsia="Calibri" w:hAnsi="Times New Roman" w:cs="Times New Roman"/>
                <w:sz w:val="20"/>
              </w:rPr>
              <w:t>építményadó évi mértéke: 1</w:t>
            </w:r>
            <w:r w:rsidR="00203CA7">
              <w:rPr>
                <w:rFonts w:ascii="Times New Roman" w:eastAsia="Calibri" w:hAnsi="Times New Roman" w:cs="Times New Roman"/>
                <w:sz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</w:rPr>
              <w:t>6</w:t>
            </w:r>
            <w:r w:rsidR="00203CA7">
              <w:rPr>
                <w:rFonts w:ascii="Times New Roman" w:eastAsia="Calibri" w:hAnsi="Times New Roman" w:cs="Times New Roman"/>
                <w:sz w:val="20"/>
              </w:rPr>
              <w:t>00,</w:t>
            </w:r>
            <w:r w:rsidRPr="004D6851">
              <w:rPr>
                <w:rFonts w:ascii="Times New Roman" w:eastAsia="Calibri" w:hAnsi="Times New Roman" w:cs="Times New Roman"/>
                <w:sz w:val="20"/>
              </w:rPr>
              <w:t>- forint/m</w:t>
            </w:r>
            <w:r w:rsidRPr="004D6851">
              <w:rPr>
                <w:rFonts w:ascii="Times New Roman" w:eastAsia="Calibri" w:hAnsi="Times New Roman" w:cs="Times New Roman"/>
                <w:sz w:val="20"/>
                <w:vertAlign w:val="superscript"/>
              </w:rPr>
              <w:t>2</w:t>
            </w:r>
          </w:p>
          <w:p w:rsidR="00557B93" w:rsidRPr="00C736BF" w:rsidRDefault="00557B93" w:rsidP="00557B93">
            <w:pPr>
              <w:spacing w:line="256" w:lineRule="auto"/>
              <w:ind w:left="475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183" w:rsidRPr="00224853" w:rsidRDefault="00FD7183" w:rsidP="00FD718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 xml:space="preserve">Budapest Főváros II. Kerületi Önkormányzat Képviselő-testülete </w:t>
            </w:r>
            <w:r>
              <w:rPr>
                <w:rFonts w:ascii="Times New Roman" w:eastAsia="Calibri" w:hAnsi="Times New Roman" w:cs="Times New Roman"/>
                <w:sz w:val="20"/>
              </w:rPr>
              <w:t>a helyi adókról szóló 1990. évi C. törvény 1. § (1) bekezdésében foglalt felhatalmazás alapján, Magyarország helyi önkormányzatairól szóló 2011. évi CLXXXIX. törvény 23. § (5) bekezdés 15.</w:t>
            </w:r>
            <w:r w:rsidRPr="00224853">
              <w:rPr>
                <w:rFonts w:ascii="Times New Roman" w:eastAsia="Calibri" w:hAnsi="Times New Roman" w:cs="Times New Roman"/>
                <w:sz w:val="20"/>
              </w:rPr>
              <w:t xml:space="preserve"> pontjában meghatározott feladatkörében eljárva a</w:t>
            </w:r>
            <w:r>
              <w:rPr>
                <w:rFonts w:ascii="Times New Roman" w:eastAsia="Calibri" w:hAnsi="Times New Roman" w:cs="Times New Roman"/>
                <w:sz w:val="20"/>
              </w:rPr>
              <w:t>z alábbi rendeletet alkotja:</w:t>
            </w:r>
          </w:p>
          <w:p w:rsidR="00FD7183" w:rsidRDefault="00FD718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1. §</w:t>
            </w:r>
          </w:p>
          <w:p w:rsidR="00224853" w:rsidRPr="00224853" w:rsidRDefault="00773B7F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r w:rsidR="00051E86" w:rsidRPr="00E50F7B">
              <w:rPr>
                <w:rFonts w:ascii="Times New Roman" w:eastAsia="Calibri" w:hAnsi="Times New Roman" w:cs="Times New Roman"/>
                <w:sz w:val="20"/>
                <w:szCs w:val="20"/>
              </w:rPr>
              <w:t>z építményadóról</w:t>
            </w:r>
            <w:r w:rsidR="00051E86">
              <w:rPr>
                <w:rFonts w:ascii="Times New Roman" w:eastAsia="Calibri" w:hAnsi="Times New Roman" w:cs="Times New Roman"/>
                <w:sz w:val="20"/>
              </w:rPr>
              <w:t xml:space="preserve"> és a magánszemélyek kommunális adójáról szóló 57/1996.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051E86">
              <w:rPr>
                <w:rFonts w:ascii="Times New Roman" w:eastAsia="Calibri" w:hAnsi="Times New Roman" w:cs="Times New Roman"/>
                <w:sz w:val="20"/>
              </w:rPr>
              <w:t>(XII.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051E86">
              <w:rPr>
                <w:rFonts w:ascii="Times New Roman" w:eastAsia="Calibri" w:hAnsi="Times New Roman" w:cs="Times New Roman"/>
                <w:sz w:val="20"/>
              </w:rPr>
              <w:t>23.)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önkormányzati </w:t>
            </w:r>
            <w:r w:rsidR="00557B93">
              <w:rPr>
                <w:rFonts w:ascii="Times New Roman" w:eastAsia="Calibri" w:hAnsi="Times New Roman" w:cs="Times New Roman"/>
                <w:sz w:val="20"/>
              </w:rPr>
              <w:t>rendelet 7. § (2</w:t>
            </w:r>
            <w:r w:rsidR="00051E86">
              <w:rPr>
                <w:rFonts w:ascii="Times New Roman" w:eastAsia="Calibri" w:hAnsi="Times New Roman" w:cs="Times New Roman"/>
                <w:sz w:val="20"/>
              </w:rPr>
              <w:t>) bekezdése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helyébe </w:t>
            </w:r>
            <w:r>
              <w:rPr>
                <w:rFonts w:ascii="Times New Roman" w:eastAsia="Calibri" w:hAnsi="Times New Roman" w:cs="Times New Roman"/>
                <w:sz w:val="20"/>
              </w:rPr>
              <w:t>a következő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652A4A">
              <w:rPr>
                <w:rFonts w:ascii="Times New Roman" w:eastAsia="Calibri" w:hAnsi="Times New Roman" w:cs="Times New Roman"/>
                <w:sz w:val="20"/>
              </w:rPr>
              <w:t xml:space="preserve">rendelkezés 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lép:</w:t>
            </w:r>
          </w:p>
          <w:p w:rsidR="00224853" w:rsidRPr="00557B93" w:rsidRDefault="00557B93" w:rsidP="00557B9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„(2</w:t>
            </w:r>
            <w:r w:rsidR="00051E86" w:rsidRPr="00051E86">
              <w:rPr>
                <w:rFonts w:ascii="Times New Roman" w:eastAsia="Calibri" w:hAnsi="Times New Roman" w:cs="Times New Roman"/>
                <w:sz w:val="20"/>
              </w:rPr>
              <w:t xml:space="preserve">) </w:t>
            </w:r>
            <w:r w:rsidR="00EE24D4">
              <w:rPr>
                <w:rFonts w:ascii="Times New Roman" w:eastAsia="Calibri" w:hAnsi="Times New Roman" w:cs="Times New Roman"/>
                <w:sz w:val="20"/>
              </w:rPr>
              <w:t>Az építményadó évi mértéke: 1</w:t>
            </w:r>
            <w:r w:rsidR="00172564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BE670C">
              <w:rPr>
                <w:rFonts w:ascii="Times New Roman" w:eastAsia="Calibri" w:hAnsi="Times New Roman" w:cs="Times New Roman"/>
                <w:sz w:val="20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</w:rPr>
              <w:t>0,- forint/m</w:t>
            </w:r>
            <w:r>
              <w:rPr>
                <w:rFonts w:ascii="Times New Roman" w:eastAsia="Calibri" w:hAnsi="Times New Roman" w:cs="Times New Roman"/>
                <w:sz w:val="20"/>
                <w:vertAlign w:val="superscript"/>
              </w:rPr>
              <w:t>2</w:t>
            </w:r>
            <w:r w:rsidR="0077284A" w:rsidRPr="007D3A70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>”</w:t>
            </w:r>
          </w:p>
        </w:tc>
      </w:tr>
      <w:tr w:rsidR="00224853" w:rsidRPr="00224853" w:rsidTr="00557B9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853" w:rsidRPr="00224853" w:rsidRDefault="00224853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6BD3" w:rsidRDefault="002A6BD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2. §</w:t>
            </w:r>
          </w:p>
          <w:p w:rsidR="00224853" w:rsidRPr="00224853" w:rsidRDefault="00773B7F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Ez a </w:t>
            </w:r>
            <w:r w:rsidR="00172564">
              <w:rPr>
                <w:rFonts w:ascii="Times New Roman" w:eastAsia="Calibri" w:hAnsi="Times New Roman" w:cs="Times New Roman"/>
                <w:sz w:val="20"/>
              </w:rPr>
              <w:t>rendelet 2023</w:t>
            </w:r>
            <w:r w:rsidR="00557B93">
              <w:rPr>
                <w:rFonts w:ascii="Times New Roman" w:eastAsia="Calibri" w:hAnsi="Times New Roman" w:cs="Times New Roman"/>
                <w:sz w:val="20"/>
              </w:rPr>
              <w:t>. január 1</w:t>
            </w:r>
            <w:r>
              <w:rPr>
                <w:rFonts w:ascii="Times New Roman" w:eastAsia="Calibri" w:hAnsi="Times New Roman" w:cs="Times New Roman"/>
                <w:sz w:val="20"/>
              </w:rPr>
              <w:t>-jén</w:t>
            </w:r>
            <w:r w:rsidR="00557B93" w:rsidRPr="00224853">
              <w:rPr>
                <w:rFonts w:ascii="Times New Roman" w:eastAsia="Calibri" w:hAnsi="Times New Roman" w:cs="Times New Roman"/>
                <w:sz w:val="20"/>
              </w:rPr>
              <w:t xml:space="preserve"> lép hatályba</w:t>
            </w:r>
            <w:r>
              <w:rPr>
                <w:rFonts w:ascii="Times New Roman" w:eastAsia="Calibri" w:hAnsi="Times New Roman" w:cs="Times New Roman"/>
                <w:sz w:val="20"/>
              </w:rPr>
              <w:t>,</w:t>
            </w:r>
            <w:r w:rsidR="00557B93" w:rsidRPr="00224853">
              <w:rPr>
                <w:rFonts w:ascii="Times New Roman" w:eastAsia="Calibri" w:hAnsi="Times New Roman" w:cs="Times New Roman"/>
                <w:sz w:val="20"/>
              </w:rPr>
              <w:t xml:space="preserve"> és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2023. január 2-án</w:t>
            </w:r>
            <w:r w:rsidR="00557B93" w:rsidRPr="00224853">
              <w:rPr>
                <w:rFonts w:ascii="Times New Roman" w:eastAsia="Calibri" w:hAnsi="Times New Roman" w:cs="Times New Roman"/>
                <w:sz w:val="20"/>
              </w:rPr>
              <w:t xml:space="preserve"> hatályát veszti.</w:t>
            </w:r>
          </w:p>
          <w:p w:rsidR="00224853" w:rsidRPr="00224853" w:rsidRDefault="00224853" w:rsidP="00622D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73B7F" w:rsidRDefault="00773B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773B7F" w:rsidRPr="00773B7F" w:rsidRDefault="00773B7F" w:rsidP="00773B7F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Budapest Főváros II. Kerületi Önkormányzat </w:t>
      </w:r>
      <w:proofErr w:type="gramStart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:rsidR="00773B7F" w:rsidRPr="00773B7F" w:rsidRDefault="00773B7F" w:rsidP="00773B7F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építményadóról és a magánszemélyek kommunális adójáról szóló 57/1996. (XII. 23.) önkormányzati rendelet módosításáról</w:t>
      </w:r>
    </w:p>
    <w:p w:rsidR="00773B7F" w:rsidRPr="00773B7F" w:rsidRDefault="00773B7F" w:rsidP="00773B7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 helyi adókról szóló 1990. évi C. törvény 1. § (1) bekezdésében kapott felhatalmazás alapján, Magyarország helyi önkormányzatairól szóló 2011. évi CLXXXIX. törvény 23. § (5) bekezdés 15. pontjában meghatározott feladatkörében eljárva a következőket rendeli el:</w:t>
      </w:r>
    </w:p>
    <w:p w:rsidR="00773B7F" w:rsidRPr="00773B7F" w:rsidRDefault="00773B7F" w:rsidP="00773B7F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773B7F" w:rsidRPr="00773B7F" w:rsidRDefault="00773B7F" w:rsidP="00773B7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építményadóról és a magánszemélyek kommunális adójáról szóló 57/1996. (XII. 23.) önkormányzati rendelet 7. § (2) bekezdése helyébe a következő rendelkezés lép:</w:t>
      </w:r>
    </w:p>
    <w:p w:rsidR="00773B7F" w:rsidRPr="00773B7F" w:rsidRDefault="00773B7F" w:rsidP="00773B7F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„(2) Az építményadó évi mértéke: 1 900,- forint/m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vertAlign w:val="superscript"/>
          <w:lang w:eastAsia="zh-CN" w:bidi="hi-IN"/>
        </w:rPr>
        <w:t>2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.”</w:t>
      </w:r>
    </w:p>
    <w:p w:rsidR="00773B7F" w:rsidRPr="00773B7F" w:rsidRDefault="00773B7F" w:rsidP="00773B7F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773B7F" w:rsidRPr="00773B7F" w:rsidRDefault="00773B7F" w:rsidP="00773B7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2023. január 1-jén lép hatályba, és 2023. január 2-án hatályát veszti.</w:t>
      </w:r>
    </w:p>
    <w:p w:rsidR="00773B7F" w:rsidRPr="00773B7F" w:rsidRDefault="00773B7F" w:rsidP="00773B7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773B7F" w:rsidRPr="00773B7F" w:rsidRDefault="00773B7F" w:rsidP="00773B7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773B7F" w:rsidRPr="00773B7F" w:rsidRDefault="00773B7F" w:rsidP="00773B7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73B7F" w:rsidRPr="00773B7F" w:rsidTr="0016592F">
        <w:tc>
          <w:tcPr>
            <w:tcW w:w="4818" w:type="dxa"/>
          </w:tcPr>
          <w:p w:rsidR="00773B7F" w:rsidRPr="00773B7F" w:rsidRDefault="00773B7F" w:rsidP="00773B7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773B7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773B7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773B7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773B7F" w:rsidRPr="00773B7F" w:rsidRDefault="00773B7F" w:rsidP="00773B7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773B7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dr. Szalai Tibor </w:t>
            </w:r>
            <w:r w:rsidRPr="00773B7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773B7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773B7F" w:rsidRPr="00773B7F" w:rsidRDefault="00773B7F" w:rsidP="00773B7F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773B7F" w:rsidRPr="00773B7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773B7F" w:rsidRPr="00773B7F" w:rsidRDefault="00773B7F" w:rsidP="00773B7F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773B7F" w:rsidRDefault="00773B7F" w:rsidP="00773B7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D30734" w:rsidRPr="003C13FD" w:rsidRDefault="00D30734" w:rsidP="007D3A7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helyi önkormányzatok a gépjárműadó elvonásával bevételi szempontból neh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ezebb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helyzetbe kerültek,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Budapest Főváros II. Kerületi Önkormányzat vonatkozásában nagyjából 350 millió forint bevétel kiesést jelent. Ennek pótlására 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felülvizsgálta a h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elyi adóztatási rendszerét (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tekintettel a Pénzügyminisztérium által meghatározott adómérték maximumokra és más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fővárosi 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önkormányzatok jelenleg 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is </w:t>
      </w: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alkalmazott adómértékeire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), amely alapján indokolt az építményadó mértékének megemelése.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Természetesen a vállalkozások részére továbbra is biztosítható az Adózás rendjéről szóló törvényben szabályozott részletfizetés és fizetéshalasztás intézménye, amennyiben az adóemelésből adódó többletterhek megfizetése nehézséggel járna.  </w:t>
      </w:r>
    </w:p>
    <w:p w:rsidR="00D30734" w:rsidRDefault="00D30734" w:rsidP="00773B7F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773B7F" w:rsidRPr="00773B7F" w:rsidRDefault="00773B7F" w:rsidP="00773B7F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773B7F" w:rsidRPr="00773B7F" w:rsidRDefault="00773B7F" w:rsidP="00773B7F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773B7F" w:rsidRPr="00773B7F" w:rsidRDefault="00773B7F" w:rsidP="00773B7F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építményadó évi mértékének megemelését rögzíti.</w:t>
      </w:r>
    </w:p>
    <w:p w:rsidR="00773B7F" w:rsidRPr="00773B7F" w:rsidRDefault="00773B7F" w:rsidP="00773B7F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773B7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773B7F" w:rsidRPr="00773B7F" w:rsidRDefault="00773B7F" w:rsidP="00773B7F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73B7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:rsidR="001218FD" w:rsidRDefault="001218FD" w:rsidP="007D3A70">
      <w:p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18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BD" w:rsidRDefault="00662BBD" w:rsidP="00A94553">
      <w:pPr>
        <w:spacing w:after="0" w:line="240" w:lineRule="auto"/>
      </w:pPr>
      <w:r>
        <w:separator/>
      </w:r>
    </w:p>
  </w:endnote>
  <w:endnote w:type="continuationSeparator" w:id="0">
    <w:p w:rsidR="00662BBD" w:rsidRDefault="00662BBD" w:rsidP="00A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7F" w:rsidRDefault="00773B7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0145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BD" w:rsidRDefault="00662BBD" w:rsidP="00A94553">
      <w:pPr>
        <w:spacing w:after="0" w:line="240" w:lineRule="auto"/>
      </w:pPr>
      <w:r>
        <w:separator/>
      </w:r>
    </w:p>
  </w:footnote>
  <w:footnote w:type="continuationSeparator" w:id="0">
    <w:p w:rsidR="00662BBD" w:rsidRDefault="00662BBD" w:rsidP="00A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86751"/>
      <w:docPartObj>
        <w:docPartGallery w:val="Page Numbers (Top of Page)"/>
        <w:docPartUnique/>
      </w:docPartObj>
    </w:sdtPr>
    <w:sdtEndPr/>
    <w:sdtContent>
      <w:p w:rsidR="009F08ED" w:rsidRDefault="009F08E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58">
          <w:rPr>
            <w:noProof/>
          </w:rPr>
          <w:t>7</w:t>
        </w:r>
        <w:r>
          <w:fldChar w:fldCharType="end"/>
        </w:r>
      </w:p>
    </w:sdtContent>
  </w:sdt>
  <w:p w:rsidR="009F08ED" w:rsidRDefault="009F08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C02"/>
    <w:multiLevelType w:val="hybridMultilevel"/>
    <w:tmpl w:val="494EAEB2"/>
    <w:lvl w:ilvl="0" w:tplc="82D817C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423667"/>
    <w:multiLevelType w:val="hybridMultilevel"/>
    <w:tmpl w:val="64E06678"/>
    <w:lvl w:ilvl="0" w:tplc="D4B2664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9775D36"/>
    <w:multiLevelType w:val="hybridMultilevel"/>
    <w:tmpl w:val="B694CE30"/>
    <w:lvl w:ilvl="0" w:tplc="74A6786E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36897459"/>
    <w:multiLevelType w:val="hybridMultilevel"/>
    <w:tmpl w:val="A69C4C04"/>
    <w:lvl w:ilvl="0" w:tplc="4BAEB8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C8086BF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07EA1B2">
      <w:start w:val="350"/>
      <w:numFmt w:val="bullet"/>
      <w:lvlText w:val=""/>
      <w:lvlJc w:val="left"/>
      <w:pPr>
        <w:ind w:left="3225" w:hanging="360"/>
      </w:pPr>
      <w:rPr>
        <w:rFonts w:ascii="Symbol" w:eastAsia="Times New Roman" w:hAnsi="Symbol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522E83"/>
    <w:multiLevelType w:val="hybridMultilevel"/>
    <w:tmpl w:val="8E9C6A00"/>
    <w:lvl w:ilvl="0" w:tplc="BB60DC2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3B1A1593"/>
    <w:multiLevelType w:val="hybridMultilevel"/>
    <w:tmpl w:val="295E8248"/>
    <w:lvl w:ilvl="0" w:tplc="0FBABF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23668"/>
    <w:multiLevelType w:val="hybridMultilevel"/>
    <w:tmpl w:val="52B66B16"/>
    <w:lvl w:ilvl="0" w:tplc="FCFAC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55C2"/>
    <w:multiLevelType w:val="hybridMultilevel"/>
    <w:tmpl w:val="863E8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6"/>
    <w:rsid w:val="000011AE"/>
    <w:rsid w:val="000317CD"/>
    <w:rsid w:val="00040ABB"/>
    <w:rsid w:val="00051E86"/>
    <w:rsid w:val="00062FCA"/>
    <w:rsid w:val="00063ABB"/>
    <w:rsid w:val="000770A8"/>
    <w:rsid w:val="0007764B"/>
    <w:rsid w:val="000943C5"/>
    <w:rsid w:val="000A63FC"/>
    <w:rsid w:val="000B43F9"/>
    <w:rsid w:val="000F3E77"/>
    <w:rsid w:val="00114644"/>
    <w:rsid w:val="00120153"/>
    <w:rsid w:val="001218FD"/>
    <w:rsid w:val="00132694"/>
    <w:rsid w:val="001537D6"/>
    <w:rsid w:val="00172564"/>
    <w:rsid w:val="001843F0"/>
    <w:rsid w:val="001A2F51"/>
    <w:rsid w:val="001A3463"/>
    <w:rsid w:val="001D2719"/>
    <w:rsid w:val="001E19B4"/>
    <w:rsid w:val="001E657B"/>
    <w:rsid w:val="001E6E36"/>
    <w:rsid w:val="0020382C"/>
    <w:rsid w:val="00203CA7"/>
    <w:rsid w:val="00204402"/>
    <w:rsid w:val="00207638"/>
    <w:rsid w:val="00212322"/>
    <w:rsid w:val="00216223"/>
    <w:rsid w:val="00224853"/>
    <w:rsid w:val="00253A14"/>
    <w:rsid w:val="00264E3B"/>
    <w:rsid w:val="002671E6"/>
    <w:rsid w:val="002A6BD3"/>
    <w:rsid w:val="002A7D76"/>
    <w:rsid w:val="002B6C4F"/>
    <w:rsid w:val="002C1797"/>
    <w:rsid w:val="002C2A21"/>
    <w:rsid w:val="002D5728"/>
    <w:rsid w:val="002F573E"/>
    <w:rsid w:val="00317F01"/>
    <w:rsid w:val="00321A49"/>
    <w:rsid w:val="00333EFC"/>
    <w:rsid w:val="003440A2"/>
    <w:rsid w:val="00383EA6"/>
    <w:rsid w:val="003842BF"/>
    <w:rsid w:val="00390E81"/>
    <w:rsid w:val="00392B80"/>
    <w:rsid w:val="003C13FD"/>
    <w:rsid w:val="003D3BC9"/>
    <w:rsid w:val="003F03A2"/>
    <w:rsid w:val="004266B3"/>
    <w:rsid w:val="00427966"/>
    <w:rsid w:val="00431ED1"/>
    <w:rsid w:val="0044450B"/>
    <w:rsid w:val="0045318F"/>
    <w:rsid w:val="0047215A"/>
    <w:rsid w:val="00484248"/>
    <w:rsid w:val="004A5313"/>
    <w:rsid w:val="004C568F"/>
    <w:rsid w:val="004D6851"/>
    <w:rsid w:val="004E665C"/>
    <w:rsid w:val="004F3495"/>
    <w:rsid w:val="00512B2C"/>
    <w:rsid w:val="00524566"/>
    <w:rsid w:val="00526515"/>
    <w:rsid w:val="005308E5"/>
    <w:rsid w:val="00557B93"/>
    <w:rsid w:val="00557E9F"/>
    <w:rsid w:val="005602F1"/>
    <w:rsid w:val="0056403D"/>
    <w:rsid w:val="00567156"/>
    <w:rsid w:val="0057552C"/>
    <w:rsid w:val="0058159E"/>
    <w:rsid w:val="00591750"/>
    <w:rsid w:val="00592177"/>
    <w:rsid w:val="005A4783"/>
    <w:rsid w:val="005B55A7"/>
    <w:rsid w:val="005B7AD7"/>
    <w:rsid w:val="005C0CCD"/>
    <w:rsid w:val="005C654A"/>
    <w:rsid w:val="005D6CE2"/>
    <w:rsid w:val="005E4538"/>
    <w:rsid w:val="005E4C1F"/>
    <w:rsid w:val="00611165"/>
    <w:rsid w:val="00613BE0"/>
    <w:rsid w:val="00622DD1"/>
    <w:rsid w:val="006449D4"/>
    <w:rsid w:val="00652A4A"/>
    <w:rsid w:val="006567D6"/>
    <w:rsid w:val="00662BBD"/>
    <w:rsid w:val="0066303A"/>
    <w:rsid w:val="00667F27"/>
    <w:rsid w:val="00672E74"/>
    <w:rsid w:val="00681174"/>
    <w:rsid w:val="00681D00"/>
    <w:rsid w:val="0069566C"/>
    <w:rsid w:val="006B3BFC"/>
    <w:rsid w:val="006B5AE6"/>
    <w:rsid w:val="006C4B62"/>
    <w:rsid w:val="006C6339"/>
    <w:rsid w:val="006E08F1"/>
    <w:rsid w:val="006E4311"/>
    <w:rsid w:val="006E543D"/>
    <w:rsid w:val="006F68C3"/>
    <w:rsid w:val="00700E8B"/>
    <w:rsid w:val="0071209E"/>
    <w:rsid w:val="00735692"/>
    <w:rsid w:val="0077284A"/>
    <w:rsid w:val="00773B7F"/>
    <w:rsid w:val="00786EBA"/>
    <w:rsid w:val="007A7DA8"/>
    <w:rsid w:val="007B3BFB"/>
    <w:rsid w:val="007C26CA"/>
    <w:rsid w:val="007D3A70"/>
    <w:rsid w:val="007D4E5E"/>
    <w:rsid w:val="00816203"/>
    <w:rsid w:val="008402B8"/>
    <w:rsid w:val="00844621"/>
    <w:rsid w:val="00850FAE"/>
    <w:rsid w:val="00857C4C"/>
    <w:rsid w:val="008835BC"/>
    <w:rsid w:val="00885146"/>
    <w:rsid w:val="0088715B"/>
    <w:rsid w:val="008B62A4"/>
    <w:rsid w:val="008B770F"/>
    <w:rsid w:val="008C4F77"/>
    <w:rsid w:val="008C74D0"/>
    <w:rsid w:val="008D5D81"/>
    <w:rsid w:val="008E713A"/>
    <w:rsid w:val="008F0755"/>
    <w:rsid w:val="008F2D7F"/>
    <w:rsid w:val="0092267F"/>
    <w:rsid w:val="009227D1"/>
    <w:rsid w:val="00925087"/>
    <w:rsid w:val="00925A8F"/>
    <w:rsid w:val="00950559"/>
    <w:rsid w:val="00961B48"/>
    <w:rsid w:val="009672BC"/>
    <w:rsid w:val="00976D1E"/>
    <w:rsid w:val="009776FD"/>
    <w:rsid w:val="0099378C"/>
    <w:rsid w:val="009A14FA"/>
    <w:rsid w:val="009C29E3"/>
    <w:rsid w:val="009C5AA8"/>
    <w:rsid w:val="009E07A2"/>
    <w:rsid w:val="009F08ED"/>
    <w:rsid w:val="009F24E8"/>
    <w:rsid w:val="009F6AF5"/>
    <w:rsid w:val="00A01458"/>
    <w:rsid w:val="00A21ACB"/>
    <w:rsid w:val="00A27F87"/>
    <w:rsid w:val="00A31646"/>
    <w:rsid w:val="00A41300"/>
    <w:rsid w:val="00A432A4"/>
    <w:rsid w:val="00A45485"/>
    <w:rsid w:val="00A5054A"/>
    <w:rsid w:val="00A51014"/>
    <w:rsid w:val="00A52D39"/>
    <w:rsid w:val="00A648F1"/>
    <w:rsid w:val="00A678D3"/>
    <w:rsid w:val="00A82376"/>
    <w:rsid w:val="00A94553"/>
    <w:rsid w:val="00A9611C"/>
    <w:rsid w:val="00AA48FA"/>
    <w:rsid w:val="00AA4C97"/>
    <w:rsid w:val="00AA50E5"/>
    <w:rsid w:val="00AB453B"/>
    <w:rsid w:val="00AD006D"/>
    <w:rsid w:val="00AF492F"/>
    <w:rsid w:val="00B044B1"/>
    <w:rsid w:val="00B1407D"/>
    <w:rsid w:val="00B32999"/>
    <w:rsid w:val="00B3334D"/>
    <w:rsid w:val="00B36C0D"/>
    <w:rsid w:val="00B52594"/>
    <w:rsid w:val="00B67AA3"/>
    <w:rsid w:val="00B863B8"/>
    <w:rsid w:val="00B906E4"/>
    <w:rsid w:val="00BA731D"/>
    <w:rsid w:val="00BD700D"/>
    <w:rsid w:val="00BE1940"/>
    <w:rsid w:val="00BE670C"/>
    <w:rsid w:val="00C15319"/>
    <w:rsid w:val="00C15497"/>
    <w:rsid w:val="00C43FF1"/>
    <w:rsid w:val="00C60539"/>
    <w:rsid w:val="00C736BF"/>
    <w:rsid w:val="00C90B4B"/>
    <w:rsid w:val="00CA0F0C"/>
    <w:rsid w:val="00CA451B"/>
    <w:rsid w:val="00CD5CD4"/>
    <w:rsid w:val="00D30734"/>
    <w:rsid w:val="00D3167A"/>
    <w:rsid w:val="00D35581"/>
    <w:rsid w:val="00D602F2"/>
    <w:rsid w:val="00D62733"/>
    <w:rsid w:val="00D66985"/>
    <w:rsid w:val="00D751FB"/>
    <w:rsid w:val="00DB7944"/>
    <w:rsid w:val="00DC6621"/>
    <w:rsid w:val="00DE0A80"/>
    <w:rsid w:val="00DF12A2"/>
    <w:rsid w:val="00DF601C"/>
    <w:rsid w:val="00E0192B"/>
    <w:rsid w:val="00E05535"/>
    <w:rsid w:val="00E35BBE"/>
    <w:rsid w:val="00E36C64"/>
    <w:rsid w:val="00E50F7B"/>
    <w:rsid w:val="00E52F2F"/>
    <w:rsid w:val="00E6784B"/>
    <w:rsid w:val="00E81E4A"/>
    <w:rsid w:val="00E82200"/>
    <w:rsid w:val="00EA1A81"/>
    <w:rsid w:val="00ED7108"/>
    <w:rsid w:val="00EE20A5"/>
    <w:rsid w:val="00EE24D4"/>
    <w:rsid w:val="00EF72C8"/>
    <w:rsid w:val="00F007FF"/>
    <w:rsid w:val="00F05BAE"/>
    <w:rsid w:val="00F108AB"/>
    <w:rsid w:val="00F210EB"/>
    <w:rsid w:val="00F2433B"/>
    <w:rsid w:val="00F30EBA"/>
    <w:rsid w:val="00F52EAE"/>
    <w:rsid w:val="00F53193"/>
    <w:rsid w:val="00F56040"/>
    <w:rsid w:val="00F564AC"/>
    <w:rsid w:val="00F671D3"/>
    <w:rsid w:val="00F73054"/>
    <w:rsid w:val="00F80AF0"/>
    <w:rsid w:val="00FB4F8D"/>
    <w:rsid w:val="00FB5FD9"/>
    <w:rsid w:val="00FC17A8"/>
    <w:rsid w:val="00FD7183"/>
    <w:rsid w:val="00FF000A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CDF8-FB0E-4EE8-8472-6BBA64F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08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E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175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F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8ED"/>
  </w:style>
  <w:style w:type="paragraph" w:styleId="llb">
    <w:name w:val="footer"/>
    <w:basedOn w:val="Norml"/>
    <w:link w:val="llbChar"/>
    <w:uiPriority w:val="99"/>
    <w:unhideWhenUsed/>
    <w:rsid w:val="009F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8ED"/>
  </w:style>
  <w:style w:type="character" w:styleId="Jegyzethivatkozs">
    <w:name w:val="annotation reference"/>
    <w:basedOn w:val="Bekezdsalapbettpusa"/>
    <w:uiPriority w:val="99"/>
    <w:semiHidden/>
    <w:unhideWhenUsed/>
    <w:rsid w:val="00077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70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70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7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7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1187</Words>
  <Characters>8195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Silye Tamás</cp:lastModifiedBy>
  <cp:revision>4</cp:revision>
  <cp:lastPrinted>2022-11-15T09:35:00Z</cp:lastPrinted>
  <dcterms:created xsi:type="dcterms:W3CDTF">2022-11-09T13:46:00Z</dcterms:created>
  <dcterms:modified xsi:type="dcterms:W3CDTF">2022-11-15T09:36:00Z</dcterms:modified>
</cp:coreProperties>
</file>