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1A" w:rsidRDefault="000A391A">
      <w:pPr>
        <w:pStyle w:val="lfej"/>
        <w:tabs>
          <w:tab w:val="clear" w:pos="4536"/>
          <w:tab w:val="clear" w:pos="9072"/>
        </w:tabs>
        <w:spacing w:line="264" w:lineRule="auto"/>
        <w:ind w:right="227"/>
        <w:jc w:val="left"/>
        <w:rPr>
          <w:szCs w:val="24"/>
        </w:rPr>
      </w:pPr>
    </w:p>
    <w:p w:rsidR="00265CA9" w:rsidRDefault="00265CA9">
      <w:pPr>
        <w:pStyle w:val="lfej"/>
        <w:tabs>
          <w:tab w:val="clear" w:pos="4536"/>
          <w:tab w:val="clear" w:pos="9072"/>
        </w:tabs>
        <w:spacing w:line="264" w:lineRule="auto"/>
        <w:ind w:right="227"/>
        <w:jc w:val="center"/>
        <w:rPr>
          <w:b/>
          <w:bCs/>
          <w:spacing w:val="100"/>
          <w:szCs w:val="24"/>
        </w:rPr>
      </w:pPr>
    </w:p>
    <w:p w:rsidR="00265CA9" w:rsidRDefault="00265CA9">
      <w:pPr>
        <w:pStyle w:val="lfej"/>
        <w:tabs>
          <w:tab w:val="clear" w:pos="4536"/>
          <w:tab w:val="clear" w:pos="9072"/>
        </w:tabs>
        <w:spacing w:line="264" w:lineRule="auto"/>
        <w:ind w:right="227"/>
        <w:jc w:val="center"/>
        <w:rPr>
          <w:b/>
          <w:bCs/>
          <w:spacing w:val="100"/>
          <w:szCs w:val="24"/>
        </w:rPr>
      </w:pPr>
    </w:p>
    <w:p w:rsidR="00265CA9" w:rsidRDefault="00265CA9">
      <w:pPr>
        <w:pStyle w:val="lfej"/>
        <w:tabs>
          <w:tab w:val="clear" w:pos="4536"/>
          <w:tab w:val="clear" w:pos="9072"/>
        </w:tabs>
        <w:spacing w:line="264" w:lineRule="auto"/>
        <w:ind w:right="227"/>
        <w:jc w:val="center"/>
        <w:rPr>
          <w:b/>
          <w:bCs/>
          <w:spacing w:val="100"/>
          <w:szCs w:val="24"/>
        </w:rPr>
      </w:pPr>
    </w:p>
    <w:p w:rsidR="00265CA9" w:rsidRDefault="00265CA9">
      <w:pPr>
        <w:pStyle w:val="lfej"/>
        <w:tabs>
          <w:tab w:val="clear" w:pos="4536"/>
          <w:tab w:val="clear" w:pos="9072"/>
        </w:tabs>
        <w:spacing w:line="264" w:lineRule="auto"/>
        <w:ind w:right="227"/>
        <w:jc w:val="center"/>
        <w:rPr>
          <w:b/>
          <w:bCs/>
          <w:spacing w:val="100"/>
          <w:szCs w:val="24"/>
        </w:rPr>
      </w:pPr>
    </w:p>
    <w:p w:rsidR="00265CA9" w:rsidRDefault="00265CA9">
      <w:pPr>
        <w:pStyle w:val="lfej"/>
        <w:tabs>
          <w:tab w:val="clear" w:pos="4536"/>
          <w:tab w:val="clear" w:pos="9072"/>
        </w:tabs>
        <w:spacing w:line="264" w:lineRule="auto"/>
        <w:ind w:right="227"/>
        <w:jc w:val="center"/>
        <w:rPr>
          <w:b/>
          <w:bCs/>
          <w:spacing w:val="100"/>
          <w:szCs w:val="24"/>
        </w:rPr>
      </w:pPr>
    </w:p>
    <w:p w:rsidR="00265CA9" w:rsidRDefault="00265CA9">
      <w:pPr>
        <w:pStyle w:val="lfej"/>
        <w:tabs>
          <w:tab w:val="clear" w:pos="4536"/>
          <w:tab w:val="clear" w:pos="9072"/>
        </w:tabs>
        <w:spacing w:line="264" w:lineRule="auto"/>
        <w:ind w:right="227"/>
        <w:jc w:val="center"/>
        <w:rPr>
          <w:b/>
          <w:bCs/>
          <w:spacing w:val="100"/>
          <w:szCs w:val="24"/>
        </w:rPr>
      </w:pPr>
    </w:p>
    <w:p w:rsidR="000A391A" w:rsidRDefault="004F0092">
      <w:pPr>
        <w:pStyle w:val="lfej"/>
        <w:tabs>
          <w:tab w:val="clear" w:pos="4536"/>
          <w:tab w:val="clear" w:pos="9072"/>
        </w:tabs>
        <w:spacing w:line="264" w:lineRule="auto"/>
        <w:ind w:right="227"/>
        <w:jc w:val="center"/>
        <w:rPr>
          <w:b/>
          <w:bCs/>
          <w:spacing w:val="100"/>
          <w:szCs w:val="24"/>
        </w:rPr>
      </w:pPr>
      <w:r>
        <w:rPr>
          <w:b/>
          <w:bCs/>
          <w:spacing w:val="100"/>
          <w:szCs w:val="24"/>
        </w:rPr>
        <w:t>ELŐTERJESZTÉS</w:t>
      </w:r>
    </w:p>
    <w:p w:rsidR="000A391A" w:rsidRDefault="000A391A">
      <w:pPr>
        <w:pStyle w:val="lfej"/>
        <w:tabs>
          <w:tab w:val="clear" w:pos="4536"/>
          <w:tab w:val="clear" w:pos="9072"/>
        </w:tabs>
        <w:spacing w:line="264" w:lineRule="auto"/>
        <w:ind w:right="227"/>
        <w:jc w:val="left"/>
        <w:rPr>
          <w:szCs w:val="24"/>
        </w:rPr>
      </w:pPr>
    </w:p>
    <w:p w:rsidR="000A391A" w:rsidRDefault="000A391A">
      <w:pPr>
        <w:pStyle w:val="lfej"/>
        <w:tabs>
          <w:tab w:val="clear" w:pos="4536"/>
          <w:tab w:val="clear" w:pos="9072"/>
        </w:tabs>
        <w:spacing w:line="264" w:lineRule="auto"/>
        <w:ind w:right="227"/>
        <w:jc w:val="left"/>
        <w:rPr>
          <w:szCs w:val="24"/>
        </w:rPr>
      </w:pPr>
    </w:p>
    <w:p w:rsidR="000A391A" w:rsidRDefault="004F0092">
      <w:pPr>
        <w:pStyle w:val="Szvegtrzs"/>
        <w:tabs>
          <w:tab w:val="left" w:pos="284"/>
        </w:tabs>
        <w:spacing w:after="0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Képviselő-testület 2021. december 16-i rendes ülésére</w:t>
      </w:r>
    </w:p>
    <w:p w:rsidR="000A391A" w:rsidRDefault="000A391A">
      <w:pPr>
        <w:keepLines w:val="0"/>
        <w:spacing w:line="264" w:lineRule="auto"/>
        <w:rPr>
          <w:b/>
          <w:bCs/>
          <w:szCs w:val="24"/>
        </w:rPr>
      </w:pPr>
    </w:p>
    <w:p w:rsidR="000A391A" w:rsidRDefault="000A391A">
      <w:pPr>
        <w:keepLines w:val="0"/>
        <w:spacing w:line="264" w:lineRule="auto"/>
        <w:rPr>
          <w:b/>
          <w:bCs/>
          <w:szCs w:val="24"/>
        </w:rPr>
      </w:pPr>
    </w:p>
    <w:p w:rsidR="000A391A" w:rsidRDefault="000A391A">
      <w:pPr>
        <w:keepLines w:val="0"/>
        <w:spacing w:line="264" w:lineRule="auto"/>
        <w:rPr>
          <w:b/>
          <w:bCs/>
          <w:szCs w:val="24"/>
        </w:rPr>
      </w:pPr>
    </w:p>
    <w:p w:rsidR="000A391A" w:rsidRDefault="004F0092">
      <w:pPr>
        <w:pStyle w:val="Cm"/>
        <w:ind w:left="851" w:hanging="851"/>
        <w:jc w:val="both"/>
        <w:rPr>
          <w:b w:val="0"/>
          <w:bCs w:val="0"/>
          <w:sz w:val="24"/>
          <w:lang w:val="hu-HU"/>
        </w:rPr>
      </w:pPr>
      <w:r>
        <w:rPr>
          <w:bCs w:val="0"/>
          <w:sz w:val="24"/>
        </w:rPr>
        <w:t>Tárgy:</w:t>
      </w:r>
      <w:r>
        <w:rPr>
          <w:bCs w:val="0"/>
          <w:sz w:val="24"/>
          <w:lang w:val="hu-HU"/>
        </w:rPr>
        <w:t xml:space="preserve"> </w:t>
      </w:r>
      <w:r>
        <w:rPr>
          <w:bCs w:val="0"/>
          <w:sz w:val="24"/>
          <w:lang w:val="hu-HU"/>
        </w:rPr>
        <w:tab/>
      </w:r>
      <w:r>
        <w:rPr>
          <w:b w:val="0"/>
          <w:bCs w:val="0"/>
          <w:sz w:val="24"/>
          <w:lang w:val="hu-HU"/>
        </w:rPr>
        <w:t>Budapest Főváros II. Kerületi Önkormányzat Képviselő-testületének Településkép Védelméről szóló 45/2017. (XII. 20.) önkormányzati rendelete és az azt megalapozó Budapest Főváros II. Kerület Településképi Arculati Kézikönyv monitorozása érdekében az önkormányzat honlapján a nyilvános értékelő felületre beérkezett vélemények kiértékelése és ismertetése a Képviselő-testülettel</w:t>
      </w:r>
    </w:p>
    <w:p w:rsidR="000A391A" w:rsidRDefault="000A391A">
      <w:pPr>
        <w:pStyle w:val="Cm"/>
        <w:ind w:left="851" w:hanging="851"/>
        <w:jc w:val="both"/>
        <w:rPr>
          <w:sz w:val="24"/>
          <w:highlight w:val="cyan"/>
        </w:rPr>
      </w:pPr>
    </w:p>
    <w:p w:rsidR="000A391A" w:rsidRDefault="000A391A">
      <w:pPr>
        <w:pStyle w:val="Szvegtrzs"/>
        <w:tabs>
          <w:tab w:val="left" w:pos="284"/>
          <w:tab w:val="left" w:pos="1843"/>
        </w:tabs>
        <w:spacing w:after="0"/>
        <w:ind w:left="284"/>
      </w:pPr>
    </w:p>
    <w:p w:rsidR="000A391A" w:rsidRDefault="000A391A">
      <w:pPr>
        <w:pStyle w:val="Szvegtrzs"/>
        <w:tabs>
          <w:tab w:val="left" w:pos="284"/>
          <w:tab w:val="left" w:pos="1843"/>
        </w:tabs>
        <w:spacing w:after="0"/>
        <w:ind w:left="284"/>
      </w:pPr>
    </w:p>
    <w:p w:rsidR="000A391A" w:rsidRDefault="000A391A">
      <w:pPr>
        <w:pStyle w:val="Szvegtrzs"/>
        <w:tabs>
          <w:tab w:val="left" w:pos="284"/>
          <w:tab w:val="left" w:pos="2127"/>
        </w:tabs>
        <w:spacing w:after="0"/>
        <w:ind w:left="284"/>
      </w:pPr>
    </w:p>
    <w:p w:rsidR="00916DD5" w:rsidRDefault="004F0092">
      <w:pPr>
        <w:pStyle w:val="Szvegtrzs"/>
        <w:tabs>
          <w:tab w:val="left" w:pos="284"/>
        </w:tabs>
        <w:ind w:right="227"/>
      </w:pPr>
      <w:r>
        <w:rPr>
          <w:b/>
          <w:u w:val="single"/>
        </w:rPr>
        <w:t>Készítette:</w:t>
      </w:r>
      <w:r>
        <w:tab/>
      </w:r>
      <w:proofErr w:type="gramStart"/>
      <w:r w:rsidR="00916DD5">
        <w:t>…………………………..</w:t>
      </w:r>
      <w:proofErr w:type="gramEnd"/>
      <w:r>
        <w:tab/>
      </w:r>
    </w:p>
    <w:p w:rsidR="000A391A" w:rsidRDefault="00916DD5">
      <w:pPr>
        <w:pStyle w:val="Szvegtrzs"/>
        <w:tabs>
          <w:tab w:val="left" w:pos="284"/>
        </w:tabs>
        <w:ind w:right="227"/>
      </w:pPr>
      <w:r>
        <w:tab/>
      </w:r>
      <w:r>
        <w:tab/>
      </w:r>
      <w:r>
        <w:tab/>
      </w:r>
      <w:r w:rsidR="004F0092">
        <w:t>Trummer Tamás főépítész</w:t>
      </w:r>
    </w:p>
    <w:p w:rsidR="000A391A" w:rsidRDefault="000A391A">
      <w:pPr>
        <w:pStyle w:val="Szvegtrzs"/>
        <w:tabs>
          <w:tab w:val="left" w:pos="284"/>
        </w:tabs>
        <w:ind w:right="227"/>
        <w:rPr>
          <w:bCs/>
          <w:lang w:val="x-none"/>
        </w:rPr>
      </w:pPr>
    </w:p>
    <w:p w:rsidR="000A391A" w:rsidRDefault="000A391A">
      <w:pPr>
        <w:pStyle w:val="Szvegtrzs"/>
        <w:tabs>
          <w:tab w:val="left" w:pos="284"/>
        </w:tabs>
        <w:ind w:right="227"/>
        <w:rPr>
          <w:bCs/>
          <w:lang w:val="x-none"/>
        </w:rPr>
      </w:pPr>
    </w:p>
    <w:p w:rsidR="00916DD5" w:rsidRDefault="004F0092">
      <w:pPr>
        <w:pStyle w:val="Szvegtrzs"/>
        <w:tabs>
          <w:tab w:val="left" w:pos="284"/>
        </w:tabs>
        <w:ind w:right="227"/>
      </w:pPr>
      <w:r>
        <w:rPr>
          <w:b/>
          <w:u w:val="single"/>
        </w:rPr>
        <w:t>Egyeztetve:</w:t>
      </w:r>
      <w:r>
        <w:tab/>
      </w:r>
      <w:proofErr w:type="gramStart"/>
      <w:r w:rsidR="00916DD5">
        <w:t>…………………………..</w:t>
      </w:r>
      <w:proofErr w:type="gramEnd"/>
      <w:r>
        <w:tab/>
      </w:r>
    </w:p>
    <w:p w:rsidR="000A391A" w:rsidRDefault="00916DD5">
      <w:pPr>
        <w:pStyle w:val="Szvegtrzs"/>
        <w:tabs>
          <w:tab w:val="left" w:pos="284"/>
        </w:tabs>
        <w:ind w:right="227"/>
      </w:pPr>
      <w:r>
        <w:tab/>
      </w:r>
      <w:r>
        <w:tab/>
      </w:r>
      <w:r>
        <w:tab/>
      </w:r>
      <w:r w:rsidR="004F0092">
        <w:t>Szabó Gyula alpolgármester</w:t>
      </w:r>
    </w:p>
    <w:p w:rsidR="000A391A" w:rsidRDefault="000A391A">
      <w:pPr>
        <w:pStyle w:val="Szvegtrzs"/>
        <w:tabs>
          <w:tab w:val="left" w:pos="284"/>
        </w:tabs>
        <w:ind w:right="227"/>
        <w:rPr>
          <w:bCs/>
          <w:lang w:val="x-none"/>
        </w:rPr>
      </w:pPr>
    </w:p>
    <w:p w:rsidR="000A391A" w:rsidRDefault="000A391A">
      <w:pPr>
        <w:pStyle w:val="Szvegtrzs"/>
        <w:tabs>
          <w:tab w:val="left" w:pos="284"/>
        </w:tabs>
        <w:ind w:right="227"/>
        <w:rPr>
          <w:bCs/>
          <w:lang w:val="x-none"/>
        </w:rPr>
      </w:pPr>
    </w:p>
    <w:p w:rsidR="00916DD5" w:rsidRDefault="004F0092">
      <w:pPr>
        <w:pStyle w:val="Szvegtrzs"/>
        <w:tabs>
          <w:tab w:val="left" w:pos="284"/>
        </w:tabs>
        <w:ind w:right="227"/>
        <w:rPr>
          <w:b/>
        </w:rPr>
      </w:pPr>
      <w:r>
        <w:rPr>
          <w:b/>
          <w:u w:val="single"/>
        </w:rPr>
        <w:t>Látta:</w:t>
      </w:r>
      <w:r>
        <w:tab/>
      </w:r>
      <w:r>
        <w:rPr>
          <w:b/>
        </w:rPr>
        <w:tab/>
      </w:r>
      <w:proofErr w:type="gramStart"/>
      <w:r w:rsidR="00916DD5" w:rsidRPr="00916DD5">
        <w:t>…………………………..</w:t>
      </w:r>
      <w:proofErr w:type="gramEnd"/>
      <w:r>
        <w:rPr>
          <w:b/>
        </w:rPr>
        <w:tab/>
      </w:r>
    </w:p>
    <w:p w:rsidR="000A391A" w:rsidRDefault="00916DD5">
      <w:pPr>
        <w:pStyle w:val="Szvegtrzs"/>
        <w:tabs>
          <w:tab w:val="left" w:pos="284"/>
        </w:tabs>
        <w:ind w:right="227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4F0092">
        <w:t>dr.</w:t>
      </w:r>
      <w:proofErr w:type="gramEnd"/>
      <w:r w:rsidR="004F0092">
        <w:t xml:space="preserve"> Szalai Tibor</w:t>
      </w:r>
      <w:r w:rsidR="004F0092">
        <w:rPr>
          <w:b/>
        </w:rPr>
        <w:t xml:space="preserve"> </w:t>
      </w:r>
      <w:r w:rsidR="004F0092">
        <w:t>jegyző</w:t>
      </w:r>
    </w:p>
    <w:p w:rsidR="00916DD5" w:rsidRDefault="00916DD5">
      <w:pPr>
        <w:pStyle w:val="Szvegtrzs"/>
        <w:tabs>
          <w:tab w:val="left" w:pos="284"/>
        </w:tabs>
        <w:ind w:right="227"/>
      </w:pPr>
    </w:p>
    <w:p w:rsidR="000A391A" w:rsidRDefault="004F0092">
      <w:pPr>
        <w:pStyle w:val="Szvegtrzs"/>
        <w:tabs>
          <w:tab w:val="left" w:pos="284"/>
        </w:tabs>
        <w:ind w:right="227"/>
      </w:pPr>
      <w:r>
        <w:tab/>
      </w:r>
      <w:r>
        <w:tab/>
      </w:r>
      <w:r>
        <w:tab/>
      </w:r>
      <w:r w:rsidR="00916DD5">
        <w:t>…………………………..</w:t>
      </w:r>
    </w:p>
    <w:p w:rsidR="000A391A" w:rsidRDefault="004F0092">
      <w:pPr>
        <w:pStyle w:val="Szvegtrzs"/>
        <w:tabs>
          <w:tab w:val="left" w:pos="284"/>
        </w:tabs>
        <w:ind w:right="227"/>
      </w:pPr>
      <w:r>
        <w:tab/>
      </w:r>
      <w:r>
        <w:tab/>
      </w:r>
      <w:r>
        <w:tab/>
      </w:r>
      <w:proofErr w:type="gramStart"/>
      <w:r>
        <w:t>dr.</w:t>
      </w:r>
      <w:proofErr w:type="gramEnd"/>
      <w:r>
        <w:t xml:space="preserve"> Silye Tamás jegyzői igazgató</w:t>
      </w:r>
    </w:p>
    <w:p w:rsidR="000A391A" w:rsidRDefault="000A391A">
      <w:pPr>
        <w:pStyle w:val="Szvegtrzs"/>
        <w:tabs>
          <w:tab w:val="left" w:pos="284"/>
        </w:tabs>
        <w:ind w:right="227"/>
        <w:rPr>
          <w:bCs/>
          <w:lang w:val="x-none"/>
        </w:rPr>
      </w:pPr>
    </w:p>
    <w:p w:rsidR="000A391A" w:rsidRDefault="000A391A">
      <w:pPr>
        <w:pStyle w:val="Szvegtrzs"/>
        <w:tabs>
          <w:tab w:val="left" w:pos="284"/>
        </w:tabs>
        <w:spacing w:after="0"/>
        <w:ind w:right="227"/>
      </w:pPr>
    </w:p>
    <w:p w:rsidR="000A391A" w:rsidRDefault="000A391A">
      <w:pPr>
        <w:pStyle w:val="Szvegtrzs"/>
        <w:tabs>
          <w:tab w:val="left" w:pos="284"/>
        </w:tabs>
        <w:spacing w:after="0"/>
        <w:ind w:right="227"/>
      </w:pPr>
    </w:p>
    <w:p w:rsidR="000A391A" w:rsidRDefault="000A391A">
      <w:pPr>
        <w:pStyle w:val="Szvegtrzs"/>
        <w:tabs>
          <w:tab w:val="left" w:pos="284"/>
        </w:tabs>
        <w:spacing w:after="0"/>
        <w:ind w:right="227"/>
      </w:pPr>
    </w:p>
    <w:p w:rsidR="00916DD5" w:rsidRPr="00916DD5" w:rsidRDefault="00916DD5" w:rsidP="00916DD5">
      <w:pPr>
        <w:pStyle w:val="Cmsor1"/>
        <w:jc w:val="right"/>
        <w:rPr>
          <w:rFonts w:ascii="Times New Roman" w:hAnsi="Times New Roman" w:cs="Times New Roman"/>
          <w:i/>
          <w:color w:val="000000" w:themeColor="text1"/>
          <w:sz w:val="24"/>
        </w:rPr>
      </w:pPr>
      <w:r w:rsidRPr="00916DD5">
        <w:rPr>
          <w:rFonts w:ascii="Times New Roman" w:hAnsi="Times New Roman" w:cs="Times New Roman"/>
          <w:color w:val="000000" w:themeColor="text1"/>
          <w:sz w:val="24"/>
        </w:rPr>
        <w:t xml:space="preserve">A napirend tárgyalása zárt ülést </w:t>
      </w:r>
      <w:r w:rsidRPr="00916DD5">
        <w:rPr>
          <w:rFonts w:ascii="Times New Roman" w:hAnsi="Times New Roman" w:cs="Times New Roman"/>
          <w:color w:val="000000" w:themeColor="text1"/>
          <w:sz w:val="24"/>
          <w:u w:val="single"/>
        </w:rPr>
        <w:t>nem</w:t>
      </w:r>
      <w:r w:rsidRPr="00916DD5">
        <w:rPr>
          <w:rFonts w:ascii="Times New Roman" w:hAnsi="Times New Roman" w:cs="Times New Roman"/>
          <w:color w:val="000000" w:themeColor="text1"/>
          <w:sz w:val="24"/>
        </w:rPr>
        <w:t xml:space="preserve"> igényel.</w:t>
      </w:r>
    </w:p>
    <w:p w:rsidR="000A391A" w:rsidRDefault="000A391A">
      <w:pPr>
        <w:pStyle w:val="Szvegtrzs"/>
        <w:tabs>
          <w:tab w:val="left" w:pos="284"/>
        </w:tabs>
        <w:spacing w:after="0"/>
        <w:ind w:right="227"/>
        <w:jc w:val="right"/>
        <w:rPr>
          <w:b/>
        </w:rPr>
      </w:pPr>
    </w:p>
    <w:p w:rsidR="000A391A" w:rsidRDefault="000A391A">
      <w:pPr>
        <w:pStyle w:val="Szvegtrzs"/>
        <w:tabs>
          <w:tab w:val="left" w:pos="284"/>
        </w:tabs>
        <w:spacing w:after="0"/>
        <w:ind w:right="227"/>
        <w:jc w:val="right"/>
        <w:rPr>
          <w:b/>
        </w:rPr>
      </w:pPr>
    </w:p>
    <w:p w:rsidR="000A391A" w:rsidRDefault="000A391A">
      <w:pPr>
        <w:keepLines w:val="0"/>
        <w:spacing w:line="264" w:lineRule="auto"/>
        <w:ind w:right="227"/>
        <w:rPr>
          <w:szCs w:val="24"/>
        </w:rPr>
      </w:pPr>
    </w:p>
    <w:p w:rsidR="00265CA9" w:rsidRDefault="004F0092">
      <w:pPr>
        <w:keepLines w:val="0"/>
        <w:spacing w:before="120" w:after="240"/>
        <w:ind w:right="227"/>
        <w:rPr>
          <w:szCs w:val="24"/>
        </w:rPr>
      </w:pPr>
      <w:r>
        <w:rPr>
          <w:szCs w:val="24"/>
        </w:rPr>
        <w:br w:type="page"/>
      </w:r>
    </w:p>
    <w:p w:rsidR="00265CA9" w:rsidRDefault="00265CA9">
      <w:pPr>
        <w:keepLines w:val="0"/>
        <w:spacing w:before="120" w:after="240"/>
        <w:ind w:right="227"/>
        <w:rPr>
          <w:b/>
          <w:szCs w:val="24"/>
        </w:rPr>
      </w:pPr>
    </w:p>
    <w:p w:rsidR="000A391A" w:rsidRDefault="004F0092">
      <w:pPr>
        <w:keepLines w:val="0"/>
        <w:spacing w:before="120" w:after="240"/>
        <w:ind w:right="227"/>
        <w:rPr>
          <w:b/>
          <w:szCs w:val="24"/>
        </w:rPr>
      </w:pPr>
      <w:r>
        <w:rPr>
          <w:b/>
          <w:szCs w:val="24"/>
        </w:rPr>
        <w:t>Tisztelt Képviselő-testület!</w:t>
      </w:r>
    </w:p>
    <w:p w:rsidR="000A391A" w:rsidRDefault="004F0092">
      <w:pPr>
        <w:spacing w:before="120" w:after="120"/>
        <w:rPr>
          <w:bCs/>
        </w:rPr>
      </w:pPr>
      <w:r>
        <w:rPr>
          <w:bCs/>
        </w:rPr>
        <w:t xml:space="preserve">2017. decemberében Budapest Főváros II. Kerületi Önkormányzat megalkotta </w:t>
      </w:r>
      <w:r>
        <w:rPr>
          <w:rStyle w:val="Kiemels"/>
        </w:rPr>
        <w:t>a településkép védelméről</w:t>
      </w:r>
      <w:r>
        <w:rPr>
          <w:bCs/>
        </w:rPr>
        <w:t xml:space="preserve"> szóló 45/2017.(XII.20.) önkormányzati rendeletét (a továbbiakban: TKR.) és elfogadta az annak szakmai megalapozása érdekében készült településképi arculati kézikönyvet (a továbbiakban: TAK). A rendelet 2018. január 1-től lépett hatályba, ettől a naptól alkalmazandó.</w:t>
      </w:r>
    </w:p>
    <w:p w:rsidR="000A391A" w:rsidRDefault="004F0092">
      <w:pPr>
        <w:spacing w:before="120" w:after="120"/>
        <w:rPr>
          <w:bCs/>
        </w:rPr>
      </w:pPr>
      <w:r>
        <w:rPr>
          <w:bCs/>
        </w:rPr>
        <w:t xml:space="preserve">A TKR. </w:t>
      </w:r>
      <w:proofErr w:type="gramStart"/>
      <w:r>
        <w:rPr>
          <w:bCs/>
        </w:rPr>
        <w:t>megalkotása</w:t>
      </w:r>
      <w:proofErr w:type="gramEnd"/>
      <w:r>
        <w:rPr>
          <w:bCs/>
        </w:rPr>
        <w:t xml:space="preserve">, illetve a TAK elfogadása a </w:t>
      </w:r>
      <w:r>
        <w:rPr>
          <w:bCs/>
          <w:i/>
        </w:rPr>
        <w:t>településkép védelméről</w:t>
      </w:r>
      <w:r>
        <w:rPr>
          <w:bCs/>
        </w:rPr>
        <w:t xml:space="preserve"> szóló 2016. évi LXXIV. törvény (a továbbiakban: </w:t>
      </w:r>
      <w:proofErr w:type="spellStart"/>
      <w:r>
        <w:rPr>
          <w:bCs/>
        </w:rPr>
        <w:t>Tvtv</w:t>
      </w:r>
      <w:proofErr w:type="spellEnd"/>
      <w:r>
        <w:rPr>
          <w:bCs/>
        </w:rPr>
        <w:t xml:space="preserve">.), valamint </w:t>
      </w:r>
      <w:r>
        <w:rPr>
          <w:bCs/>
          <w:i/>
        </w:rPr>
        <w:t>a településfejlesztési koncepcióról, az integrált településfejlesztési stratégiáról és a településrendezési eszközökről, valamint egyes településrendezési sajátos jogintézményekről</w:t>
      </w:r>
      <w:r w:rsidR="00ED3A11">
        <w:rPr>
          <w:bCs/>
        </w:rPr>
        <w:t xml:space="preserve"> szóló 314/2012.(XI.</w:t>
      </w:r>
      <w:r>
        <w:rPr>
          <w:bCs/>
        </w:rPr>
        <w:t>8.) Korm. rendelet (a továbbiakban: TRK.) alapján készült.</w:t>
      </w:r>
    </w:p>
    <w:p w:rsidR="000A391A" w:rsidRDefault="004F0092">
      <w:pPr>
        <w:spacing w:before="120" w:after="120"/>
        <w:rPr>
          <w:bCs/>
        </w:rPr>
      </w:pPr>
      <w:r>
        <w:rPr>
          <w:bCs/>
        </w:rPr>
        <w:t>A TRK</w:t>
      </w:r>
      <w:r>
        <w:rPr>
          <w:szCs w:val="24"/>
        </w:rPr>
        <w:t xml:space="preserve"> 43/B. § (3) (4) bekezdései értelmében polgármester gondoskodik a kézikönyv és a településképi rendelet monitorozása érdekében az önkormányzat honlapján nyilvános értékelő felület működtetéséről, továbbá az önkormányzati főépítész évente egy alkalommal a felületre beérkezett véleményeket kiértékeli és ismerteti a képviselő-testülettel.</w:t>
      </w:r>
    </w:p>
    <w:p w:rsidR="000A391A" w:rsidRDefault="004F0092">
      <w:pPr>
        <w:spacing w:after="120"/>
        <w:rPr>
          <w:szCs w:val="24"/>
        </w:rPr>
      </w:pPr>
      <w:r>
        <w:rPr>
          <w:szCs w:val="24"/>
        </w:rPr>
        <w:t>Az elmúlt év folyamán lakossági értékelés nem érkezett, azonban módosításra okot adó körülmények felmerültek. Az okok három fő csoportja: I) helyi és felettes jogszabály-változás, II) helyi egyedi védelem alá helyezési eljárás, valamint III) a gyakorlati alkalmazás során tapasztalható anomáliák.</w:t>
      </w:r>
    </w:p>
    <w:p w:rsidR="000A391A" w:rsidRDefault="004F0092">
      <w:pPr>
        <w:spacing w:after="120"/>
        <w:rPr>
          <w:szCs w:val="24"/>
        </w:rPr>
      </w:pPr>
      <w:r>
        <w:rPr>
          <w:szCs w:val="24"/>
        </w:rPr>
        <w:t>E három csoportba tartozó észrevételek ismertetése az előterjesztés mellékletében található. A felsorolt észrevételek kiértékelése alapján a TKR módosítása szükséges a jogharmonizáció/dereguláció, valamint az anomáliák eloszlatása érdekében. A helyi egyedi védelem alá helyezési eljárás során szinte valamennyi ingatlanról megállapítást nyert a helyi egyedi védelem javaslatának megalapozottsága, ami szintén a TKR módosításával zárulhat le.</w:t>
      </w:r>
    </w:p>
    <w:p w:rsidR="000A391A" w:rsidRDefault="000A391A">
      <w:pPr>
        <w:spacing w:after="60"/>
        <w:rPr>
          <w:b/>
          <w:szCs w:val="24"/>
        </w:rPr>
      </w:pPr>
    </w:p>
    <w:p w:rsidR="000A391A" w:rsidRDefault="00AD3219">
      <w:pPr>
        <w:keepLines w:val="0"/>
        <w:spacing w:before="120" w:after="60"/>
        <w:ind w:left="-28" w:right="227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Határozati javaslat</w:t>
      </w:r>
    </w:p>
    <w:p w:rsidR="00AD3219" w:rsidRDefault="00AD3219">
      <w:pPr>
        <w:ind w:left="720"/>
        <w:rPr>
          <w:szCs w:val="24"/>
          <w:lang w:eastAsia="hu-HU"/>
        </w:rPr>
      </w:pPr>
    </w:p>
    <w:p w:rsidR="000A391A" w:rsidRDefault="004F0092" w:rsidP="00AD3219">
      <w:pPr>
        <w:ind w:left="1701" w:right="1122"/>
        <w:rPr>
          <w:szCs w:val="24"/>
        </w:rPr>
      </w:pPr>
      <w:r>
        <w:rPr>
          <w:szCs w:val="24"/>
          <w:lang w:eastAsia="hu-HU"/>
        </w:rPr>
        <w:t xml:space="preserve">A </w:t>
      </w:r>
      <w:r>
        <w:rPr>
          <w:szCs w:val="24"/>
        </w:rPr>
        <w:t xml:space="preserve">Budapest Főváros II. Kerületi Önkormányzat Képviselő-testülete </w:t>
      </w:r>
      <w:r>
        <w:rPr>
          <w:iCs/>
          <w:szCs w:val="24"/>
          <w:lang w:eastAsia="hu-HU"/>
        </w:rPr>
        <w:t xml:space="preserve">a </w:t>
      </w:r>
      <w:r>
        <w:rPr>
          <w:szCs w:val="24"/>
        </w:rPr>
        <w:t xml:space="preserve">Budapest Főváros II. Kerületi Önkormányzat Képviselő-testületének 45/2017. (XII. 20.) önkormányzati rendelet monitorozásának </w:t>
      </w:r>
      <w:r>
        <w:rPr>
          <w:bCs/>
          <w:szCs w:val="24"/>
          <w:lang w:eastAsia="hu-HU"/>
        </w:rPr>
        <w:t xml:space="preserve">kiértékelését és ismertetését </w:t>
      </w:r>
      <w:r>
        <w:rPr>
          <w:iCs/>
          <w:szCs w:val="24"/>
          <w:lang w:eastAsia="hu-HU"/>
        </w:rPr>
        <w:t>elfogadja, valamint felkéri az polgármestert, hogy a TKR módosításának megindításához szükséges intézkedéseket megtegye</w:t>
      </w:r>
      <w:r>
        <w:rPr>
          <w:szCs w:val="24"/>
        </w:rPr>
        <w:t>.</w:t>
      </w:r>
    </w:p>
    <w:p w:rsidR="000A391A" w:rsidRDefault="000A391A">
      <w:pPr>
        <w:ind w:left="720"/>
        <w:rPr>
          <w:bCs/>
          <w:color w:val="000000"/>
          <w:szCs w:val="24"/>
          <w:u w:val="single"/>
        </w:rPr>
      </w:pPr>
    </w:p>
    <w:p w:rsidR="000A391A" w:rsidRDefault="004F0092" w:rsidP="00AD3219">
      <w:pPr>
        <w:keepLines w:val="0"/>
        <w:spacing w:line="264" w:lineRule="auto"/>
        <w:ind w:left="1701" w:right="227"/>
        <w:rPr>
          <w:szCs w:val="24"/>
        </w:rPr>
      </w:pPr>
      <w:r>
        <w:rPr>
          <w:b/>
          <w:szCs w:val="24"/>
          <w:u w:val="single"/>
        </w:rPr>
        <w:t>Felelős</w:t>
      </w:r>
      <w:r>
        <w:rPr>
          <w:b/>
          <w:szCs w:val="24"/>
        </w:rPr>
        <w:t>:</w:t>
      </w:r>
      <w:r>
        <w:rPr>
          <w:b/>
          <w:szCs w:val="24"/>
        </w:rPr>
        <w:tab/>
      </w:r>
      <w:r>
        <w:rPr>
          <w:szCs w:val="24"/>
        </w:rPr>
        <w:t>Polgármester</w:t>
      </w:r>
    </w:p>
    <w:p w:rsidR="000A391A" w:rsidRDefault="004F0092" w:rsidP="00AD3219">
      <w:pPr>
        <w:keepLines w:val="0"/>
        <w:spacing w:after="120" w:line="264" w:lineRule="auto"/>
        <w:ind w:left="1701" w:right="227"/>
        <w:rPr>
          <w:szCs w:val="24"/>
        </w:rPr>
      </w:pPr>
      <w:r>
        <w:rPr>
          <w:b/>
          <w:szCs w:val="24"/>
          <w:u w:val="single"/>
        </w:rPr>
        <w:t>Határidő</w:t>
      </w:r>
      <w:r>
        <w:rPr>
          <w:szCs w:val="24"/>
        </w:rPr>
        <w:t>:</w:t>
      </w:r>
      <w:r>
        <w:rPr>
          <w:szCs w:val="24"/>
        </w:rPr>
        <w:tab/>
        <w:t>folyamatos</w:t>
      </w:r>
    </w:p>
    <w:p w:rsidR="000A391A" w:rsidRDefault="000A391A">
      <w:pPr>
        <w:keepLines w:val="0"/>
        <w:spacing w:before="120" w:after="60"/>
        <w:ind w:right="227"/>
        <w:rPr>
          <w:b/>
          <w:szCs w:val="24"/>
        </w:rPr>
      </w:pPr>
    </w:p>
    <w:p w:rsidR="000A391A" w:rsidRPr="00265CA9" w:rsidRDefault="004F0092" w:rsidP="00AD3219">
      <w:pPr>
        <w:keepLines w:val="0"/>
        <w:spacing w:before="120"/>
        <w:ind w:right="227"/>
        <w:rPr>
          <w:b/>
          <w:szCs w:val="24"/>
        </w:rPr>
      </w:pPr>
      <w:r w:rsidRPr="00265CA9">
        <w:rPr>
          <w:b/>
          <w:szCs w:val="24"/>
        </w:rPr>
        <w:t xml:space="preserve">Budapest, 2021. december </w:t>
      </w:r>
      <w:r w:rsidR="00AD3219" w:rsidRPr="00265CA9">
        <w:rPr>
          <w:b/>
          <w:szCs w:val="24"/>
        </w:rPr>
        <w:t>6.</w:t>
      </w:r>
    </w:p>
    <w:p w:rsidR="000A391A" w:rsidRPr="00265CA9" w:rsidRDefault="004F0092">
      <w:pPr>
        <w:keepLines w:val="0"/>
        <w:tabs>
          <w:tab w:val="center" w:pos="6804"/>
        </w:tabs>
        <w:suppressAutoHyphens w:val="0"/>
        <w:spacing w:before="240"/>
        <w:rPr>
          <w:b/>
          <w:szCs w:val="24"/>
          <w:lang w:eastAsia="hu-HU"/>
        </w:rPr>
      </w:pPr>
      <w:r w:rsidRPr="00265CA9">
        <w:rPr>
          <w:b/>
          <w:szCs w:val="24"/>
          <w:lang w:eastAsia="hu-HU"/>
        </w:rPr>
        <w:tab/>
        <w:t xml:space="preserve">Őrsi Gergely </w:t>
      </w:r>
    </w:p>
    <w:p w:rsidR="000A391A" w:rsidRDefault="004F0092">
      <w:pPr>
        <w:keepLines w:val="0"/>
        <w:tabs>
          <w:tab w:val="center" w:pos="6804"/>
        </w:tabs>
        <w:suppressAutoHyphens w:val="0"/>
        <w:rPr>
          <w:szCs w:val="24"/>
        </w:rPr>
        <w:sectPr w:rsidR="000A391A">
          <w:footerReference w:type="default" r:id="rId8"/>
          <w:headerReference w:type="first" r:id="rId9"/>
          <w:footerReference w:type="first" r:id="rId10"/>
          <w:footnotePr>
            <w:numRestart w:val="eachPage"/>
          </w:footnotePr>
          <w:pgSz w:w="11907" w:h="16839" w:code="9"/>
          <w:pgMar w:top="720" w:right="720" w:bottom="720" w:left="1418" w:header="567" w:footer="454" w:gutter="0"/>
          <w:cols w:space="708"/>
          <w:titlePg/>
          <w:docGrid w:linePitch="326"/>
        </w:sectPr>
      </w:pPr>
      <w:bookmarkStart w:id="0" w:name="_GoBack"/>
      <w:bookmarkEnd w:id="0"/>
      <w:r>
        <w:rPr>
          <w:b/>
          <w:szCs w:val="24"/>
          <w:lang w:eastAsia="hu-HU"/>
        </w:rPr>
        <w:tab/>
      </w:r>
      <w:proofErr w:type="gramStart"/>
      <w:r>
        <w:rPr>
          <w:szCs w:val="24"/>
          <w:lang w:eastAsia="hu-HU"/>
        </w:rPr>
        <w:t>polgármester</w:t>
      </w:r>
      <w:proofErr w:type="gramEnd"/>
    </w:p>
    <w:p w:rsidR="000A391A" w:rsidRDefault="000A391A">
      <w:pPr>
        <w:keepLines w:val="0"/>
        <w:suppressAutoHyphens w:val="0"/>
        <w:spacing w:after="160" w:line="259" w:lineRule="auto"/>
        <w:jc w:val="left"/>
        <w:rPr>
          <w:szCs w:val="24"/>
          <w:lang w:eastAsia="hu-HU"/>
        </w:rPr>
      </w:pPr>
    </w:p>
    <w:p w:rsidR="000A391A" w:rsidRDefault="004F0092">
      <w:pPr>
        <w:pStyle w:val="trofejezet"/>
        <w:numPr>
          <w:ilvl w:val="0"/>
          <w:numId w:val="22"/>
        </w:numPr>
      </w:pPr>
      <w:r>
        <w:t>helyi és felettes jogszabályokkal való harmonizáció</w:t>
      </w:r>
    </w:p>
    <w:p w:rsidR="000A391A" w:rsidRDefault="004F0092">
      <w:pPr>
        <w:pStyle w:val="trobekezdes"/>
      </w:pPr>
      <w:r>
        <w:t>A TKR 2020. július 7-i módosításával megteremtettük az összhangot a 2019. december 31-én hatályba lépett Kerületi Építési Szabályzattal. A felettes jogszabályok folyamatos változása a TKR újabb felülvizsgálatát teszi szükségessé.</w:t>
      </w:r>
    </w:p>
    <w:p w:rsidR="000A391A" w:rsidRDefault="004F0092">
      <w:pPr>
        <w:pStyle w:val="trofejezet"/>
        <w:numPr>
          <w:ilvl w:val="0"/>
          <w:numId w:val="22"/>
        </w:numPr>
      </w:pPr>
      <w:r>
        <w:t>helyi értékvédelmi eljárás</w:t>
      </w:r>
    </w:p>
    <w:p w:rsidR="000A391A" w:rsidRDefault="004F0092">
      <w:pPr>
        <w:pStyle w:val="trobekezdes"/>
      </w:pPr>
      <w:r>
        <w:t>2020 folyamán 36 kerületi ingatlan értékvédelmi dokumentációját készítette el az Épített Környezetért Felelős Igazgatóság Településrendezési Osztálya. A 11514/61 és 11514/62 helyrajzi számú ingatlanok egyben (</w:t>
      </w:r>
      <w:proofErr w:type="spellStart"/>
      <w:r>
        <w:t>nyilv</w:t>
      </w:r>
      <w:proofErr w:type="spellEnd"/>
      <w:r>
        <w:t xml:space="preserve">. tart. </w:t>
      </w:r>
      <w:proofErr w:type="gramStart"/>
      <w:r>
        <w:t>sz.</w:t>
      </w:r>
      <w:proofErr w:type="gramEnd"/>
      <w:r>
        <w:t xml:space="preserve"> KVE.020), a 11514/69 és 11514/70 helyrajzi számú ingatlanok szintén egyben (</w:t>
      </w:r>
      <w:proofErr w:type="spellStart"/>
      <w:r>
        <w:t>nyilv</w:t>
      </w:r>
      <w:proofErr w:type="spellEnd"/>
      <w:r>
        <w:t xml:space="preserve">. tart. </w:t>
      </w:r>
      <w:proofErr w:type="gramStart"/>
      <w:r>
        <w:t>sz.</w:t>
      </w:r>
      <w:proofErr w:type="gramEnd"/>
      <w:r>
        <w:t xml:space="preserve"> KVE.021) kerültek feldolgozásra. A helyi egyedi védelemre javasolt ingatlanok közül egy végül nem került a helyi egyedi védett értékek jegyzékébe.</w:t>
      </w:r>
    </w:p>
    <w:p w:rsidR="000A391A" w:rsidRDefault="004F0092">
      <w:pPr>
        <w:pStyle w:val="trobekezdes"/>
      </w:pPr>
      <w:r>
        <w:t>A Hidegkúti út menti kettőzött svábházas beépítés kerületi helyi védett területté vált a TKR 1</w:t>
      </w:r>
      <w:proofErr w:type="gramStart"/>
      <w:r>
        <w:t>.c.</w:t>
      </w:r>
      <w:proofErr w:type="gramEnd"/>
      <w:r>
        <w:t xml:space="preserve"> melléklete szerint.</w:t>
      </w:r>
    </w:p>
    <w:p w:rsidR="000A391A" w:rsidRDefault="004F0092">
      <w:pPr>
        <w:pStyle w:val="trobekezdes"/>
      </w:pPr>
      <w:r>
        <w:t xml:space="preserve">A kerület építészeti értékekben gazdag, így </w:t>
      </w:r>
      <w:r>
        <w:rPr>
          <w:rStyle w:val="Kiemels"/>
        </w:rPr>
        <w:t>az épített környezet alakításáról év védelméről</w:t>
      </w:r>
      <w:r>
        <w:t xml:space="preserve"> szóló 1997. évi LXXVIII. törvény 57. §</w:t>
      </w:r>
      <w:proofErr w:type="spellStart"/>
      <w:r>
        <w:t>-ban</w:t>
      </w:r>
      <w:proofErr w:type="spellEnd"/>
      <w:r>
        <w:t xml:space="preserve"> kapott felhatalmazás alapján a helyi védelemmel érintett ingatlanok körét tovább bővíteni szükséges.</w:t>
      </w:r>
    </w:p>
    <w:p w:rsidR="000A391A" w:rsidRDefault="004F0092">
      <w:pPr>
        <w:pStyle w:val="trofejezet"/>
        <w:numPr>
          <w:ilvl w:val="0"/>
          <w:numId w:val="22"/>
        </w:numPr>
      </w:pPr>
      <w:r>
        <w:rPr>
          <w:szCs w:val="24"/>
        </w:rPr>
        <w:t xml:space="preserve">TKR </w:t>
      </w:r>
      <w:r>
        <w:t>monitorozás észrevételek, javaslatok</w:t>
      </w:r>
    </w:p>
    <w:p w:rsidR="000A391A" w:rsidRDefault="004F0092">
      <w:pPr>
        <w:pStyle w:val="trobekezdes"/>
      </w:pPr>
      <w:r>
        <w:t>A TKR módosítása során a rendelet mellékleteinek könnyebb használhatósága érdekében utcanevekkel ellátott mellékletek készültek, segítve az ügyfelek számára az ingatlanok beazonosítását.</w:t>
      </w:r>
    </w:p>
    <w:p w:rsidR="000A391A" w:rsidRDefault="004F0092">
      <w:pPr>
        <w:pStyle w:val="trobekezdes"/>
      </w:pPr>
      <w:r>
        <w:t>A TKR</w:t>
      </w:r>
      <w:r>
        <w:rPr>
          <w:rFonts w:ascii="Times" w:hAnsi="Times" w:cs="Times"/>
          <w:bCs/>
          <w:color w:val="000000"/>
        </w:rPr>
        <w:t xml:space="preserve"> gyakorlati használata során is derültek ki olyan pontosítást igénylő helyzetek, hiányosságok, melyeket az eddigi tapasztalataink alapján kiegészíteni, pontosítani, javítani, pótolni volt célszerű. E</w:t>
      </w:r>
      <w:r>
        <w:t xml:space="preserve">gyes eljárások </w:t>
      </w:r>
      <w:r>
        <w:rPr>
          <w:rFonts w:ascii="Times" w:hAnsi="Times" w:cs="Times"/>
          <w:bCs/>
          <w:color w:val="000000"/>
        </w:rPr>
        <w:t xml:space="preserve">egyedi ügyei során (elsősorban a fellebbezések által) – a 2020 közepén végrehajtott TKR módosítás után – további jogszabály-értelmezési anomália merült fel, ami a TKR </w:t>
      </w:r>
      <w:r>
        <w:t>felülvizsgálatát és módosítását szintén szükségessé</w:t>
      </w:r>
      <w:r>
        <w:rPr>
          <w:rFonts w:ascii="Times" w:hAnsi="Times" w:cs="Times"/>
          <w:bCs/>
          <w:color w:val="000000"/>
        </w:rPr>
        <w:t xml:space="preserve"> </w:t>
      </w:r>
      <w:r>
        <w:t>teszi.</w:t>
      </w:r>
    </w:p>
    <w:p w:rsidR="000A391A" w:rsidRDefault="000A391A">
      <w:pPr>
        <w:keepLines w:val="0"/>
        <w:suppressAutoHyphens w:val="0"/>
        <w:spacing w:after="160" w:line="259" w:lineRule="auto"/>
        <w:jc w:val="left"/>
        <w:rPr>
          <w:szCs w:val="24"/>
          <w:lang w:eastAsia="hu-HU"/>
        </w:rPr>
      </w:pPr>
    </w:p>
    <w:sectPr w:rsidR="000A391A">
      <w:headerReference w:type="first" r:id="rId11"/>
      <w:footerReference w:type="first" r:id="rId12"/>
      <w:footnotePr>
        <w:numRestart w:val="eachPage"/>
      </w:footnotePr>
      <w:pgSz w:w="11907" w:h="16840" w:code="9"/>
      <w:pgMar w:top="720" w:right="720" w:bottom="720" w:left="1418" w:header="567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16" w:rsidRDefault="00AA7116">
      <w:r>
        <w:separator/>
      </w:r>
    </w:p>
  </w:endnote>
  <w:endnote w:type="continuationSeparator" w:id="0">
    <w:p w:rsidR="00AA7116" w:rsidRDefault="00AA7116">
      <w:r>
        <w:continuationSeparator/>
      </w:r>
    </w:p>
  </w:endnote>
  <w:endnote w:type="continuationNotice" w:id="1">
    <w:p w:rsidR="00AA7116" w:rsidRDefault="00AA7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16301"/>
      <w:docPartObj>
        <w:docPartGallery w:val="Page Numbers (Bottom of Page)"/>
        <w:docPartUnique/>
      </w:docPartObj>
    </w:sdtPr>
    <w:sdtEndPr/>
    <w:sdtContent>
      <w:p w:rsidR="000A391A" w:rsidRDefault="004F009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CA9">
          <w:rPr>
            <w:noProof/>
          </w:rPr>
          <w:t>2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265C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495605"/>
      <w:docPartObj>
        <w:docPartGallery w:val="Page Numbers (Bottom of Page)"/>
        <w:docPartUnique/>
      </w:docPartObj>
    </w:sdtPr>
    <w:sdtEndPr/>
    <w:sdtContent>
      <w:p w:rsidR="000A391A" w:rsidRDefault="00AA7116">
        <w:pPr>
          <w:pStyle w:val="llb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858029"/>
      <w:docPartObj>
        <w:docPartGallery w:val="Page Numbers (Bottom of Page)"/>
        <w:docPartUnique/>
      </w:docPartObj>
    </w:sdtPr>
    <w:sdtEndPr/>
    <w:sdtContent>
      <w:sdt>
        <w:sdtPr>
          <w:id w:val="1842821340"/>
          <w:docPartObj>
            <w:docPartGallery w:val="Page Numbers (Bottom of Page)"/>
            <w:docPartUnique/>
          </w:docPartObj>
        </w:sdtPr>
        <w:sdtEndPr/>
        <w:sdtContent>
          <w:p w:rsidR="000A391A" w:rsidRDefault="004F0092">
            <w:pPr>
              <w:pStyle w:val="llb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265CA9">
              <w:rPr>
                <w:noProof/>
              </w:rPr>
              <w:t>3</w:t>
            </w:r>
            <w:r>
              <w:fldChar w:fldCharType="end"/>
            </w:r>
            <w:r>
              <w:t>/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 w:rsidR="00265CA9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16" w:rsidRDefault="00AA7116">
      <w:r>
        <w:separator/>
      </w:r>
    </w:p>
  </w:footnote>
  <w:footnote w:type="continuationSeparator" w:id="0">
    <w:p w:rsidR="00AA7116" w:rsidRDefault="00AA7116">
      <w:r>
        <w:continuationSeparator/>
      </w:r>
    </w:p>
  </w:footnote>
  <w:footnote w:type="continuationNotice" w:id="1">
    <w:p w:rsidR="00AA7116" w:rsidRDefault="00AA71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91A" w:rsidRDefault="004F0092">
    <w:pPr>
      <w:pStyle w:val="Szvegtrzs"/>
      <w:tabs>
        <w:tab w:val="left" w:pos="284"/>
      </w:tabs>
      <w:spacing w:after="0"/>
      <w:ind w:left="5760"/>
      <w:jc w:val="right"/>
    </w:pPr>
    <w:r>
      <w:t>…</w:t>
    </w:r>
    <w:proofErr w:type="gramStart"/>
    <w:r>
      <w:t>………….</w:t>
    </w:r>
    <w:proofErr w:type="gramEnd"/>
    <w:r>
      <w:t>(sz.) napirend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91A" w:rsidRDefault="004F0092">
    <w:pPr>
      <w:pStyle w:val="trobekezdes"/>
      <w:pBdr>
        <w:bottom w:val="single" w:sz="4" w:space="1" w:color="auto"/>
      </w:pBdr>
      <w:tabs>
        <w:tab w:val="left" w:pos="6128"/>
      </w:tabs>
      <w:jc w:val="right"/>
      <w:rPr>
        <w:i/>
        <w:szCs w:val="24"/>
        <w:lang w:eastAsia="hu-HU"/>
      </w:rPr>
    </w:pPr>
    <w:r>
      <w:rPr>
        <w:i/>
        <w:szCs w:val="24"/>
        <w:lang w:eastAsia="hu-HU"/>
      </w:rPr>
      <w:t>Előterjesztés 1. melléklete</w:t>
    </w:r>
  </w:p>
  <w:p w:rsidR="000A391A" w:rsidRDefault="004F0092">
    <w:pPr>
      <w:pStyle w:val="trobekezdes"/>
      <w:pBdr>
        <w:bottom w:val="single" w:sz="4" w:space="1" w:color="auto"/>
      </w:pBdr>
      <w:tabs>
        <w:tab w:val="left" w:pos="6128"/>
      </w:tabs>
      <w:jc w:val="right"/>
      <w:rPr>
        <w:i/>
        <w:szCs w:val="24"/>
        <w:lang w:eastAsia="hu-HU"/>
      </w:rPr>
    </w:pPr>
    <w:r>
      <w:rPr>
        <w:i/>
        <w:szCs w:val="24"/>
        <w:lang w:eastAsia="hu-HU"/>
      </w:rPr>
      <w:t>TKR monitorozás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719"/>
    <w:multiLevelType w:val="multilevel"/>
    <w:tmpl w:val="E1BEC06A"/>
    <w:name w:val="Paragrafus"/>
    <w:styleLink w:val="Jogszabaly"/>
    <w:lvl w:ilvl="0">
      <w:start w:val="1"/>
      <w:numFmt w:val="decimal"/>
      <w:pStyle w:val="R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pStyle w:val="R3szint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R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" w15:restartNumberingAfterBreak="0">
    <w:nsid w:val="04DA5376"/>
    <w:multiLevelType w:val="hybridMultilevel"/>
    <w:tmpl w:val="23D864B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A1496"/>
    <w:multiLevelType w:val="hybridMultilevel"/>
    <w:tmpl w:val="98989300"/>
    <w:lvl w:ilvl="0" w:tplc="78082AB4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F5AB6"/>
    <w:multiLevelType w:val="multilevel"/>
    <w:tmpl w:val="CA2EC62A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R4alpont"/>
      <w:lvlText w:val="%3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4B0276"/>
    <w:multiLevelType w:val="hybridMultilevel"/>
    <w:tmpl w:val="3F60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125E"/>
    <w:multiLevelType w:val="hybridMultilevel"/>
    <w:tmpl w:val="647085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662CC"/>
    <w:multiLevelType w:val="hybridMultilevel"/>
    <w:tmpl w:val="4D4E08CA"/>
    <w:lvl w:ilvl="0" w:tplc="040E0015">
      <w:start w:val="1"/>
      <w:numFmt w:val="upperLetter"/>
      <w:lvlText w:val="%1."/>
      <w:lvlJc w:val="left"/>
      <w:pPr>
        <w:ind w:left="786" w:hanging="360"/>
      </w:pPr>
      <w:rPr>
        <w:rFonts w:hint="eastAsia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D60EE"/>
    <w:multiLevelType w:val="hybridMultilevel"/>
    <w:tmpl w:val="F2426C26"/>
    <w:lvl w:ilvl="0" w:tplc="6D5E18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50CB4"/>
    <w:multiLevelType w:val="hybridMultilevel"/>
    <w:tmpl w:val="FAE835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F13EA"/>
    <w:multiLevelType w:val="hybridMultilevel"/>
    <w:tmpl w:val="3CE44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328E2"/>
    <w:multiLevelType w:val="hybridMultilevel"/>
    <w:tmpl w:val="243C5CDE"/>
    <w:lvl w:ilvl="0" w:tplc="25C20EC0">
      <w:start w:val="1"/>
      <w:numFmt w:val="decimal"/>
      <w:pStyle w:val="paragrafus"/>
      <w:lvlText w:val="%1.§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C4D17"/>
    <w:multiLevelType w:val="hybridMultilevel"/>
    <w:tmpl w:val="E94A433A"/>
    <w:lvl w:ilvl="0" w:tplc="FEC09E9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B693C"/>
    <w:multiLevelType w:val="hybridMultilevel"/>
    <w:tmpl w:val="17E89A28"/>
    <w:lvl w:ilvl="0" w:tplc="2102B1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4E48B0"/>
    <w:multiLevelType w:val="hybridMultilevel"/>
    <w:tmpl w:val="8960A9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251E1"/>
    <w:multiLevelType w:val="multilevel"/>
    <w:tmpl w:val="E1BEC06A"/>
    <w:name w:val="Paragrafus22"/>
    <w:numStyleLink w:val="Jogszabaly"/>
  </w:abstractNum>
  <w:abstractNum w:abstractNumId="15" w15:restartNumberingAfterBreak="0">
    <w:nsid w:val="5AB06D38"/>
    <w:multiLevelType w:val="hybridMultilevel"/>
    <w:tmpl w:val="9998C91A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7248DA"/>
    <w:multiLevelType w:val="multilevel"/>
    <w:tmpl w:val="225C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2689B"/>
    <w:multiLevelType w:val="hybridMultilevel"/>
    <w:tmpl w:val="CC8EFF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586A084">
      <w:start w:val="1"/>
      <w:numFmt w:val="ordinal"/>
      <w:pStyle w:val="TKR"/>
      <w:suff w:val="space"/>
      <w:lvlText w:val="%2 §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80CEE"/>
    <w:multiLevelType w:val="multilevel"/>
    <w:tmpl w:val="A07675DE"/>
    <w:lvl w:ilvl="0">
      <w:start w:val="1"/>
      <w:numFmt w:val="decimal"/>
      <w:pStyle w:val="bekTK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9511A07"/>
    <w:multiLevelType w:val="hybridMultilevel"/>
    <w:tmpl w:val="7EB0A2BA"/>
    <w:lvl w:ilvl="0" w:tplc="F9F4C530">
      <w:start w:val="1"/>
      <w:numFmt w:val="decimal"/>
      <w:pStyle w:val="IIKVSZbek1normalszurke"/>
      <w:lvlText w:val="(%1)"/>
      <w:lvlJc w:val="left"/>
      <w:pPr>
        <w:ind w:left="72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FF0000"/>
        <w:sz w:val="24"/>
        <w:u w:val="non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A01C2"/>
    <w:multiLevelType w:val="hybridMultilevel"/>
    <w:tmpl w:val="3F60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C1CA0"/>
    <w:multiLevelType w:val="hybridMultilevel"/>
    <w:tmpl w:val="2CB459D8"/>
    <w:lvl w:ilvl="0" w:tplc="E5D24644">
      <w:start w:val="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3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7"/>
  </w:num>
  <w:num w:numId="5">
    <w:abstractNumId w:val="18"/>
  </w:num>
  <w:num w:numId="6">
    <w:abstractNumId w:val="0"/>
  </w:num>
  <w:num w:numId="7">
    <w:abstractNumId w:val="14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8">
    <w:abstractNumId w:val="8"/>
  </w:num>
  <w:num w:numId="9">
    <w:abstractNumId w:val="6"/>
  </w:num>
  <w:num w:numId="10">
    <w:abstractNumId w:val="9"/>
  </w:num>
  <w:num w:numId="11">
    <w:abstractNumId w:val="1"/>
  </w:num>
  <w:num w:numId="12">
    <w:abstractNumId w:val="13"/>
  </w:num>
  <w:num w:numId="13">
    <w:abstractNumId w:val="11"/>
  </w:num>
  <w:num w:numId="14">
    <w:abstractNumId w:val="15"/>
  </w:num>
  <w:num w:numId="15">
    <w:abstractNumId w:val="7"/>
  </w:num>
  <w:num w:numId="16">
    <w:abstractNumId w:val="16"/>
  </w:num>
  <w:num w:numId="17">
    <w:abstractNumId w:val="20"/>
  </w:num>
  <w:num w:numId="18">
    <w:abstractNumId w:val="4"/>
  </w:num>
  <w:num w:numId="19">
    <w:abstractNumId w:val="5"/>
  </w:num>
  <w:num w:numId="20">
    <w:abstractNumId w:val="2"/>
  </w:num>
  <w:num w:numId="21">
    <w:abstractNumId w:val="21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1A"/>
    <w:rsid w:val="000A391A"/>
    <w:rsid w:val="001968C6"/>
    <w:rsid w:val="00265CA9"/>
    <w:rsid w:val="0037185D"/>
    <w:rsid w:val="004F0092"/>
    <w:rsid w:val="00916DD5"/>
    <w:rsid w:val="00AA7116"/>
    <w:rsid w:val="00AD3219"/>
    <w:rsid w:val="00C77204"/>
    <w:rsid w:val="00DD4167"/>
    <w:rsid w:val="00E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A92842-239E-41D7-9DDF-5C7EABA7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pPr>
      <w:keepNext/>
      <w:spacing w:line="264" w:lineRule="auto"/>
      <w:ind w:left="-227" w:right="227"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Cm">
    <w:name w:val="Title"/>
    <w:basedOn w:val="Norml"/>
    <w:link w:val="CmChar"/>
    <w:qFormat/>
    <w:pPr>
      <w:keepLines w:val="0"/>
      <w:suppressAutoHyphens w:val="0"/>
      <w:jc w:val="center"/>
    </w:pPr>
    <w:rPr>
      <w:b/>
      <w:bCs/>
      <w:sz w:val="26"/>
      <w:szCs w:val="24"/>
      <w:lang w:val="x-none" w:eastAsia="x-none"/>
    </w:rPr>
  </w:style>
  <w:style w:type="character" w:customStyle="1" w:styleId="CmChar">
    <w:name w:val="Cím Char"/>
    <w:basedOn w:val="Bekezdsalapbettpusa"/>
    <w:link w:val="Cm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qFormat/>
    <w:pPr>
      <w:keepLines w:val="0"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customStyle="1" w:styleId="IIKVSZbek1normalszurke">
    <w:name w:val="II_KVSZ_(bek_1_normal)_szurke"/>
    <w:basedOn w:val="Norml"/>
    <w:link w:val="IIKVSZbek1normalszurkeChar"/>
    <w:qFormat/>
    <w:pPr>
      <w:keepLines w:val="0"/>
      <w:numPr>
        <w:numId w:val="1"/>
      </w:numPr>
      <w:shd w:val="clear" w:color="auto" w:fill="D9D9D9"/>
      <w:suppressAutoHyphens w:val="0"/>
      <w:spacing w:before="60"/>
    </w:pPr>
    <w:rPr>
      <w:sz w:val="20"/>
      <w:lang w:val="x-none" w:eastAsia="x-none"/>
    </w:rPr>
  </w:style>
  <w:style w:type="character" w:customStyle="1" w:styleId="IIKVSZbek1normalszurkeChar">
    <w:name w:val="II_KVSZ_(bek_1_normal)_szurke Char"/>
    <w:link w:val="IIKVSZbek1normalszurke"/>
    <w:rPr>
      <w:rFonts w:ascii="Times New Roman" w:eastAsia="Times New Roman" w:hAnsi="Times New Roman" w:cs="Times New Roman"/>
      <w:sz w:val="20"/>
      <w:szCs w:val="20"/>
      <w:shd w:val="clear" w:color="auto" w:fill="D9D9D9"/>
      <w:lang w:val="x-none" w:eastAsia="x-none"/>
    </w:rPr>
  </w:style>
  <w:style w:type="paragraph" w:customStyle="1" w:styleId="paragrafus">
    <w:name w:val="paragrafus"/>
    <w:basedOn w:val="Norml"/>
    <w:link w:val="paragrafusChar"/>
    <w:qFormat/>
    <w:pPr>
      <w:keepLines w:val="0"/>
      <w:numPr>
        <w:numId w:val="2"/>
      </w:numPr>
      <w:shd w:val="clear" w:color="auto" w:fill="FFFFFF"/>
      <w:suppressAutoHyphens w:val="0"/>
      <w:spacing w:before="60" w:line="276" w:lineRule="auto"/>
      <w:jc w:val="center"/>
    </w:pPr>
    <w:rPr>
      <w:rFonts w:ascii="TimesNewRomanPS-BoldMT" w:hAnsi="TimesNewRomanPS-BoldMT"/>
      <w:b/>
      <w:bCs/>
      <w:color w:val="FF0000"/>
      <w:szCs w:val="24"/>
      <w:lang w:val="x-none" w:eastAsia="x-none"/>
    </w:rPr>
  </w:style>
  <w:style w:type="character" w:customStyle="1" w:styleId="paragrafusChar">
    <w:name w:val="paragrafus Char"/>
    <w:link w:val="paragrafus"/>
    <w:rPr>
      <w:rFonts w:ascii="TimesNewRomanPS-BoldMT" w:eastAsia="Times New Roman" w:hAnsi="TimesNewRomanPS-BoldMT" w:cs="Times New Roman"/>
      <w:b/>
      <w:bCs/>
      <w:color w:val="FF0000"/>
      <w:sz w:val="24"/>
      <w:szCs w:val="24"/>
      <w:shd w:val="clear" w:color="auto" w:fill="FFFFFF"/>
      <w:lang w:val="x-none" w:eastAsia="x-none"/>
    </w:rPr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paragraph" w:styleId="llb">
    <w:name w:val="footer"/>
    <w:basedOn w:val="Norml"/>
    <w:link w:val="llbChar"/>
    <w:uiPriority w:val="99"/>
    <w:pPr>
      <w:keepLines w:val="0"/>
      <w:tabs>
        <w:tab w:val="center" w:pos="4536"/>
        <w:tab w:val="right" w:pos="9072"/>
      </w:tabs>
      <w:suppressAutoHyphens w:val="0"/>
      <w:jc w:val="left"/>
    </w:pPr>
    <w:rPr>
      <w:szCs w:val="24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Szvegtrzs">
    <w:name w:val="Body Text"/>
    <w:basedOn w:val="Norml"/>
    <w:link w:val="SzvegtrzsChar"/>
    <w:pPr>
      <w:keepLines w:val="0"/>
      <w:widowControl w:val="0"/>
      <w:spacing w:after="120"/>
      <w:jc w:val="left"/>
    </w:pPr>
    <w:rPr>
      <w:rFonts w:eastAsia="Arial Unicode MS"/>
      <w:szCs w:val="24"/>
    </w:rPr>
  </w:style>
  <w:style w:type="character" w:customStyle="1" w:styleId="SzvegtrzsChar">
    <w:name w:val="Szövegtörzs Char"/>
    <w:basedOn w:val="Bekezdsalapbettpusa"/>
    <w:link w:val="Szvegtrzs"/>
    <w:rPr>
      <w:rFonts w:ascii="Times New Roman" w:eastAsia="Arial Unicode MS" w:hAnsi="Times New Roman" w:cs="Times New Roman"/>
      <w:sz w:val="24"/>
      <w:szCs w:val="24"/>
    </w:rPr>
  </w:style>
  <w:style w:type="character" w:styleId="Oldalszm">
    <w:name w:val="page number"/>
    <w:basedOn w:val="Bekezdsalapbettpusa"/>
  </w:style>
  <w:style w:type="paragraph" w:styleId="NormlWeb">
    <w:name w:val="Normal (Web)"/>
    <w:basedOn w:val="Norml"/>
    <w:uiPriority w:val="99"/>
    <w:unhideWhenUsed/>
    <w:pPr>
      <w:keepLines w:val="0"/>
      <w:suppressAutoHyphens w:val="0"/>
      <w:spacing w:before="100" w:beforeAutospacing="1" w:after="100" w:afterAutospacing="1"/>
      <w:jc w:val="left"/>
    </w:pPr>
    <w:rPr>
      <w:szCs w:val="24"/>
      <w:lang w:eastAsia="hu-HU"/>
    </w:rPr>
  </w:style>
  <w:style w:type="paragraph" w:styleId="Vltozat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robekezdes">
    <w:name w:val="tro_bekezdes"/>
    <w:basedOn w:val="Norml"/>
    <w:pPr>
      <w:keepLines w:val="0"/>
      <w:suppressAutoHyphens w:val="0"/>
      <w:spacing w:after="120"/>
    </w:pPr>
    <w:rPr>
      <w:lang w:eastAsia="en-US"/>
    </w:rPr>
  </w:style>
  <w:style w:type="paragraph" w:customStyle="1" w:styleId="trobekezdes0">
    <w:name w:val="tro_bekezdes_0"/>
    <w:basedOn w:val="trobekezdes"/>
    <w:qFormat/>
    <w:pPr>
      <w:spacing w:after="0"/>
    </w:pPr>
  </w:style>
  <w:style w:type="paragraph" w:customStyle="1" w:styleId="tkvkbekezdes">
    <w:name w:val="tkvk_bekezdes"/>
    <w:basedOn w:val="Norml"/>
    <w:pPr>
      <w:keepLines w:val="0"/>
      <w:widowControl w:val="0"/>
      <w:tabs>
        <w:tab w:val="left" w:pos="709"/>
      </w:tabs>
      <w:spacing w:after="120"/>
    </w:pPr>
    <w:rPr>
      <w:rFonts w:eastAsia="Lucida Sans Unicode" w:cs="Mangal"/>
      <w:szCs w:val="24"/>
      <w:lang w:eastAsia="zh-CN" w:bidi="hi-IN"/>
    </w:rPr>
  </w:style>
  <w:style w:type="paragraph" w:customStyle="1" w:styleId="trobekezdes0K">
    <w:name w:val="tro_bekezdes_0K"/>
    <w:basedOn w:val="trobekezdes0"/>
    <w:qFormat/>
    <w:pPr>
      <w:jc w:val="center"/>
    </w:pPr>
  </w:style>
  <w:style w:type="character" w:styleId="Kiemels2">
    <w:name w:val="Strong"/>
    <w:basedOn w:val="Bekezdsalapbettpusa"/>
    <w:uiPriority w:val="22"/>
    <w:qFormat/>
    <w:rPr>
      <w:b/>
      <w:bCs/>
    </w:rPr>
  </w:style>
  <w:style w:type="paragraph" w:customStyle="1" w:styleId="R1para1">
    <w:name w:val="R 1. para (1)"/>
    <w:basedOn w:val="Listaszerbekezds"/>
    <w:next w:val="R2bekezdes"/>
    <w:qFormat/>
    <w:pPr>
      <w:numPr>
        <w:numId w:val="3"/>
      </w:numPr>
      <w:tabs>
        <w:tab w:val="left" w:pos="567"/>
      </w:tabs>
      <w:spacing w:before="120" w:after="0" w:line="276" w:lineRule="auto"/>
      <w:ind w:left="1134" w:hanging="1134"/>
      <w:contextualSpacing w:val="0"/>
      <w:jc w:val="both"/>
      <w:outlineLvl w:val="3"/>
    </w:pPr>
    <w:rPr>
      <w:rFonts w:ascii="Calibri" w:eastAsia="Calibri" w:hAnsi="Calibri" w:cs="Times New Roman"/>
      <w:sz w:val="18"/>
      <w:lang w:eastAsia="hu-HU"/>
    </w:rPr>
  </w:style>
  <w:style w:type="paragraph" w:customStyle="1" w:styleId="R2bekezdes">
    <w:name w:val="R 2. bekezdes"/>
    <w:basedOn w:val="R1para1"/>
    <w:next w:val="R3pont"/>
    <w:link w:val="R2bekezdesChar"/>
    <w:qFormat/>
    <w:pPr>
      <w:numPr>
        <w:ilvl w:val="1"/>
      </w:numPr>
      <w:tabs>
        <w:tab w:val="clear" w:pos="567"/>
        <w:tab w:val="num" w:pos="360"/>
      </w:tabs>
      <w:spacing w:line="240" w:lineRule="auto"/>
      <w:outlineLvl w:val="9"/>
    </w:pPr>
    <w:rPr>
      <w:rFonts w:cs="Calibri"/>
    </w:rPr>
  </w:style>
  <w:style w:type="paragraph" w:customStyle="1" w:styleId="R3pont">
    <w:name w:val="R 3. pont"/>
    <w:basedOn w:val="R1para1"/>
    <w:link w:val="R3pontChar"/>
    <w:qFormat/>
    <w:pPr>
      <w:numPr>
        <w:ilvl w:val="2"/>
      </w:numPr>
      <w:tabs>
        <w:tab w:val="clear" w:pos="567"/>
      </w:tabs>
      <w:spacing w:before="60" w:line="240" w:lineRule="auto"/>
      <w:outlineLvl w:val="9"/>
    </w:pPr>
  </w:style>
  <w:style w:type="paragraph" w:customStyle="1" w:styleId="R4alpont">
    <w:name w:val="R 4. alpont"/>
    <w:basedOn w:val="R1para1"/>
    <w:link w:val="R4alpontChar"/>
    <w:qFormat/>
    <w:pPr>
      <w:numPr>
        <w:ilvl w:val="3"/>
      </w:numPr>
      <w:tabs>
        <w:tab w:val="clear" w:pos="567"/>
      </w:tabs>
      <w:spacing w:before="60" w:line="240" w:lineRule="auto"/>
      <w:ind w:left="1984" w:hanging="360"/>
      <w:contextualSpacing/>
      <w:outlineLvl w:val="9"/>
    </w:pPr>
  </w:style>
  <w:style w:type="character" w:customStyle="1" w:styleId="ListaszerbekezdsChar">
    <w:name w:val="Listaszerű bekezdés Char"/>
    <w:aliases w:val="Listaszerű bekezdés 1 Char,Welt L Char,Színes lista – 1. jelölőszín1 Char,lista_2 Char"/>
    <w:link w:val="Listaszerbekezds"/>
  </w:style>
  <w:style w:type="character" w:customStyle="1" w:styleId="R3pontChar">
    <w:name w:val="R 3. pont Char"/>
    <w:link w:val="R3pont"/>
    <w:rPr>
      <w:rFonts w:ascii="Calibri" w:eastAsia="Calibri" w:hAnsi="Calibri" w:cs="Times New Roman"/>
      <w:sz w:val="18"/>
      <w:lang w:eastAsia="hu-HU"/>
    </w:rPr>
  </w:style>
  <w:style w:type="character" w:customStyle="1" w:styleId="R4alpontChar">
    <w:name w:val="R 4. alpont Char"/>
    <w:link w:val="R4alpont"/>
    <w:rPr>
      <w:rFonts w:ascii="Calibri" w:eastAsia="Calibri" w:hAnsi="Calibri" w:cs="Times New Roman"/>
      <w:sz w:val="18"/>
      <w:lang w:eastAsia="hu-HU"/>
    </w:rPr>
  </w:style>
  <w:style w:type="character" w:customStyle="1" w:styleId="R2bekezdesChar">
    <w:name w:val="R 2. bekezdes Char"/>
    <w:link w:val="R2bekezdes"/>
    <w:rPr>
      <w:rFonts w:ascii="Calibri" w:eastAsia="Calibri" w:hAnsi="Calibri" w:cs="Calibri"/>
      <w:sz w:val="18"/>
      <w:lang w:eastAsia="hu-HU"/>
    </w:rPr>
  </w:style>
  <w:style w:type="paragraph" w:customStyle="1" w:styleId="TKR">
    <w:name w:val="§ TKR"/>
    <w:basedOn w:val="Norml"/>
    <w:next w:val="bekTKR"/>
    <w:link w:val="TKRChar"/>
    <w:autoRedefine/>
    <w:qFormat/>
    <w:pPr>
      <w:keepNext/>
      <w:keepLines w:val="0"/>
      <w:numPr>
        <w:ilvl w:val="1"/>
        <w:numId w:val="4"/>
      </w:numPr>
      <w:shd w:val="clear" w:color="auto" w:fill="E2EFD9" w:themeFill="accent6" w:themeFillTint="33"/>
      <w:suppressAutoHyphens w:val="0"/>
      <w:spacing w:before="120"/>
      <w:jc w:val="center"/>
      <w:outlineLvl w:val="3"/>
    </w:pPr>
    <w:rPr>
      <w:b/>
      <w:szCs w:val="24"/>
      <w:lang w:eastAsia="hu-HU"/>
    </w:rPr>
  </w:style>
  <w:style w:type="paragraph" w:customStyle="1" w:styleId="bekTKR">
    <w:name w:val="bek. TKR"/>
    <w:basedOn w:val="Norml"/>
    <w:link w:val="bekTKRChar"/>
    <w:qFormat/>
    <w:pPr>
      <w:keepLines w:val="0"/>
      <w:numPr>
        <w:numId w:val="5"/>
      </w:numPr>
      <w:suppressLineNumbers/>
      <w:spacing w:before="60"/>
      <w:outlineLvl w:val="4"/>
    </w:pPr>
    <w:rPr>
      <w:rFonts w:eastAsia="Calibri"/>
      <w:lang w:eastAsia="en-US"/>
    </w:rPr>
  </w:style>
  <w:style w:type="character" w:customStyle="1" w:styleId="TKRChar">
    <w:name w:val="§ TKR Char"/>
    <w:basedOn w:val="Bekezdsalapbettpusa"/>
    <w:link w:val="TKR"/>
    <w:rPr>
      <w:rFonts w:ascii="Times New Roman" w:eastAsia="Times New Roman" w:hAnsi="Times New Roman" w:cs="Times New Roman"/>
      <w:b/>
      <w:sz w:val="24"/>
      <w:szCs w:val="24"/>
      <w:shd w:val="clear" w:color="auto" w:fill="E2EFD9" w:themeFill="accent6" w:themeFillTint="33"/>
      <w:lang w:eastAsia="hu-HU"/>
    </w:rPr>
  </w:style>
  <w:style w:type="character" w:customStyle="1" w:styleId="bekTKRChar">
    <w:name w:val="bek. TKR Char"/>
    <w:basedOn w:val="Bekezdsalapbettpusa"/>
    <w:link w:val="bekTKR"/>
    <w:rPr>
      <w:rFonts w:ascii="Times New Roman" w:eastAsia="Calibri" w:hAnsi="Times New Roman" w:cs="Times New Roman"/>
      <w:sz w:val="24"/>
      <w:szCs w:val="20"/>
    </w:rPr>
  </w:style>
  <w:style w:type="paragraph" w:customStyle="1" w:styleId="Q2szintszamnelkul">
    <w:name w:val="Q 2. szint &gt;&gt;&gt; szamnelkul"/>
    <w:basedOn w:val="Norml"/>
    <w:link w:val="Q2szintszamnelkulChar"/>
    <w:qFormat/>
    <w:pPr>
      <w:keepLines w:val="0"/>
      <w:suppressAutoHyphens w:val="0"/>
      <w:spacing w:before="60"/>
      <w:ind w:left="567"/>
    </w:pPr>
    <w:rPr>
      <w:rFonts w:ascii="Calibri" w:eastAsia="Calibri" w:hAnsi="Calibri"/>
      <w:sz w:val="18"/>
      <w:szCs w:val="18"/>
      <w:lang w:eastAsia="en-US"/>
    </w:rPr>
  </w:style>
  <w:style w:type="character" w:customStyle="1" w:styleId="Q2szintszamnelkulChar">
    <w:name w:val="Q 2. szint &gt;&gt;&gt; szamnelkul Char"/>
    <w:link w:val="Q2szintszamnelkul"/>
    <w:rPr>
      <w:rFonts w:ascii="Calibri" w:eastAsia="Calibri" w:hAnsi="Calibri" w:cs="Times New Roman"/>
      <w:sz w:val="18"/>
      <w:szCs w:val="18"/>
    </w:rPr>
  </w:style>
  <w:style w:type="paragraph" w:customStyle="1" w:styleId="RKieg1szint">
    <w:name w:val="R Kieg 1. szint"/>
    <w:basedOn w:val="Listaszerbekezds"/>
    <w:qFormat/>
    <w:pPr>
      <w:suppressAutoHyphens/>
      <w:spacing w:before="360" w:after="120" w:line="240" w:lineRule="auto"/>
      <w:ind w:left="0"/>
      <w:contextualSpacing w:val="0"/>
      <w:jc w:val="both"/>
    </w:pPr>
    <w:rPr>
      <w:rFonts w:ascii="Calibri" w:eastAsia="Calibri" w:hAnsi="Calibri" w:cs="Times New Roman"/>
      <w:b/>
      <w:sz w:val="18"/>
      <w:lang w:eastAsia="ar-SA"/>
    </w:rPr>
  </w:style>
  <w:style w:type="numbering" w:customStyle="1" w:styleId="Jogszabaly">
    <w:name w:val="Jogszabaly"/>
    <w:pPr>
      <w:numPr>
        <w:numId w:val="6"/>
      </w:numPr>
    </w:pPr>
  </w:style>
  <w:style w:type="paragraph" w:customStyle="1" w:styleId="R1szint">
    <w:name w:val="R 1 szint"/>
    <w:basedOn w:val="Listaszerbekezds"/>
    <w:qFormat/>
    <w:pPr>
      <w:numPr>
        <w:numId w:val="7"/>
      </w:numPr>
      <w:tabs>
        <w:tab w:val="num" w:pos="850"/>
      </w:tabs>
      <w:spacing w:before="240" w:after="0" w:line="240" w:lineRule="auto"/>
      <w:ind w:left="-28" w:right="-113" w:firstLine="0"/>
      <w:contextualSpacing w:val="0"/>
      <w:jc w:val="right"/>
    </w:pPr>
    <w:rPr>
      <w:rFonts w:ascii="Calibri" w:eastAsia="Calibri" w:hAnsi="Calibri" w:cs="Calibri"/>
      <w:b/>
      <w:sz w:val="18"/>
      <w:szCs w:val="18"/>
    </w:rPr>
  </w:style>
  <w:style w:type="paragraph" w:customStyle="1" w:styleId="Rendelet2szint">
    <w:name w:val="Rendelet 2 szint"/>
    <w:basedOn w:val="Norml"/>
    <w:next w:val="Norml"/>
    <w:pPr>
      <w:keepLines w:val="0"/>
      <w:numPr>
        <w:ilvl w:val="1"/>
        <w:numId w:val="7"/>
      </w:numPr>
      <w:suppressAutoHyphens w:val="0"/>
      <w:spacing w:before="240"/>
      <w:ind w:left="567"/>
    </w:pPr>
    <w:rPr>
      <w:rFonts w:ascii="Calibri" w:eastAsia="Calibri" w:hAnsi="Calibri"/>
      <w:sz w:val="18"/>
      <w:szCs w:val="18"/>
      <w:lang w:eastAsia="en-US"/>
    </w:rPr>
  </w:style>
  <w:style w:type="paragraph" w:customStyle="1" w:styleId="R3szint">
    <w:name w:val="R 3. szint"/>
    <w:basedOn w:val="Rendelet2szint"/>
    <w:qFormat/>
    <w:pPr>
      <w:numPr>
        <w:ilvl w:val="2"/>
      </w:numPr>
      <w:tabs>
        <w:tab w:val="left" w:pos="851"/>
      </w:tabs>
      <w:spacing w:before="60"/>
      <w:ind w:left="851" w:hanging="284"/>
    </w:pPr>
  </w:style>
  <w:style w:type="paragraph" w:customStyle="1" w:styleId="R4szint">
    <w:name w:val="R 4. szint"/>
    <w:basedOn w:val="R3szint"/>
    <w:qFormat/>
    <w:pPr>
      <w:numPr>
        <w:ilvl w:val="3"/>
      </w:numPr>
      <w:ind w:left="1276" w:hanging="425"/>
      <w:contextualSpacing/>
    </w:pPr>
  </w:style>
  <w:style w:type="paragraph" w:customStyle="1" w:styleId="R10MAGYARAZAT">
    <w:name w:val="R_10_MAGYARAZAT"/>
    <w:basedOn w:val="Norml"/>
    <w:link w:val="R10MAGYARAZATChar"/>
    <w:qFormat/>
    <w:pPr>
      <w:keepLines w:val="0"/>
      <w:pBdr>
        <w:left w:val="single" w:sz="36" w:space="4" w:color="auto"/>
      </w:pBdr>
      <w:suppressAutoHyphens w:val="0"/>
      <w:ind w:left="1831"/>
      <w:jc w:val="left"/>
    </w:pPr>
    <w:rPr>
      <w:rFonts w:ascii="Calibri" w:hAnsi="Calibri"/>
      <w:sz w:val="16"/>
      <w:szCs w:val="16"/>
      <w:lang w:eastAsia="hu-HU"/>
    </w:rPr>
  </w:style>
  <w:style w:type="character" w:customStyle="1" w:styleId="R10MAGYARAZATChar">
    <w:name w:val="R_10_MAGYARAZAT Char"/>
    <w:link w:val="R10MAGYARAZAT"/>
    <w:rPr>
      <w:rFonts w:ascii="Calibri" w:eastAsia="Times New Roman" w:hAnsi="Calibri" w:cs="Times New Roman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Rcsostblzat3">
    <w:name w:val="Rácsos táblázat3"/>
    <w:basedOn w:val="Normltblzat"/>
    <w:next w:val="Rcsostblzat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954F72" w:themeColor="followedHyperlink"/>
      <w:u w:val="single"/>
    </w:rPr>
  </w:style>
  <w:style w:type="character" w:styleId="Kiemels">
    <w:name w:val="Emphasis"/>
    <w:basedOn w:val="Bekezdsalapbettpusa"/>
    <w:uiPriority w:val="20"/>
    <w:qFormat/>
    <w:rPr>
      <w:i/>
      <w:iCs/>
    </w:rPr>
  </w:style>
  <w:style w:type="paragraph" w:customStyle="1" w:styleId="trofejezet">
    <w:name w:val="tro_fejezet"/>
    <w:basedOn w:val="Listaszerbekezds"/>
    <w:next w:val="trobekezdes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2F42A-E8AF-4037-97C6-4E1B7D7B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621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Pálffy-Károly Veronika</dc:creator>
  <cp:keywords/>
  <dc:description/>
  <cp:lastModifiedBy>Silye Tamás</cp:lastModifiedBy>
  <cp:revision>7</cp:revision>
  <cp:lastPrinted>2021-12-06T08:22:00Z</cp:lastPrinted>
  <dcterms:created xsi:type="dcterms:W3CDTF">2021-12-06T11:39:00Z</dcterms:created>
  <dcterms:modified xsi:type="dcterms:W3CDTF">2021-12-07T07:37:00Z</dcterms:modified>
</cp:coreProperties>
</file>