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A1" w:rsidRDefault="007D5D69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Budapest Főváros II. Kerületi Önkormányzat </w:t>
      </w:r>
      <w:proofErr w:type="gramStart"/>
      <w:r>
        <w:rPr>
          <w:b/>
          <w:bCs/>
        </w:rPr>
        <w:t xml:space="preserve">Képviselő-testülete </w:t>
      </w:r>
      <w:r w:rsidR="00B1715D">
        <w:rPr>
          <w:b/>
          <w:bCs/>
        </w:rPr>
        <w:t>….</w:t>
      </w:r>
      <w:proofErr w:type="gramEnd"/>
      <w:r w:rsidR="00B1715D">
        <w:rPr>
          <w:b/>
          <w:bCs/>
        </w:rPr>
        <w:t>.</w:t>
      </w:r>
      <w:r>
        <w:rPr>
          <w:b/>
          <w:bCs/>
        </w:rPr>
        <w:t>/2021. (</w:t>
      </w:r>
      <w:r w:rsidR="00B1715D">
        <w:rPr>
          <w:b/>
          <w:bCs/>
        </w:rPr>
        <w:t>……</w:t>
      </w:r>
      <w:bookmarkStart w:id="0" w:name="_GoBack"/>
      <w:bookmarkEnd w:id="0"/>
      <w:r>
        <w:rPr>
          <w:b/>
          <w:bCs/>
        </w:rPr>
        <w:t>.) önkormányzati rendelete</w:t>
      </w:r>
    </w:p>
    <w:p w:rsidR="001F34A1" w:rsidRDefault="007D5D69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mezei őrszolgálat létesítéséről és működéséről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Budapest Főváros II. Kerületi Önkormányzat Képviselő-testülete Magyarország Alaptörvénye 32. cikk (2) bekezdésében meghatározott jogalkotói hatáskörében, valamint a Magyarország helyi önkormányzatairól szóló 2011. évi CLXXXIX. törvény l7. § (1) bekezdésében rögzített feladatkörében eljárva, a fegyveres biztonsági őrségről, a természetvédelmi és a mezei őrszolgálatról szóló 1997. évi CLIX. törvény 16. § (1) bekezdésében és 19. § (1) bekezdésében kapott felhatalmazás alapján a következőket rendeli el: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A rendelet hatálya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(1) E rendelet területi hatálya a Budapest Főváros II. Kerületi Önkormányzat közigazgatási területén fekvő termőföldekre terjed ki.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 xml:space="preserve">(2) Nem terjed ki a rendelet hatálya az </w:t>
      </w:r>
      <w:proofErr w:type="gramStart"/>
      <w:r>
        <w:t>erdő művelési</w:t>
      </w:r>
      <w:proofErr w:type="gramEnd"/>
      <w:r>
        <w:t xml:space="preserve"> ágban nyilvántartott területekre és a halastavakra.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(3) A rendelet személyi hatálya kiterjed minden magánszemélyre, jogi személyre és egyéb szervezetre, aki az (1) bekezdés szerinti földterületek használója, annak hiányában tulajdonosa.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A mezei őrszolgálat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(1) Budapest Főváros II. Kerületi Önkormányzat a közigazgatási területén található termőföldek, továbbá a mezőgazdasági termelést szolgáló építmények őrzésére és védelmére mezei őrszolgálatot létesít, amelynek létszámát 2 főben állapítja meg teljes munkaidőben.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(2) A mezei őrszolgálat a nyilvántartásba vett és az e rendelet 1. mellékletében felsorolt területen látja el tevékenységét.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(3) A mezőőrök feladataikat köztisztviselőként, „II. Kerületi Mezei Őrszolgálat” feliratú formaruhában, azonosító jelvénnyel látják el, a mezőőri tevékenység ellátásra vonatkozó, mindenkor hatályos jogszabályok, valamint a fenntartó Önkormányzat utasításai szerint.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(4) A mezőőr felett a munkáltatói jogokat a Jegyző gyakorolja.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(5) A szakmai felügyeletet a mezőgazdasági igazgatási szerv és az illetékes rendőrkapitányság gyakorolja.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 xml:space="preserve">(6) A mezőőr tevékenysége során együttműködik - többek között – a rendőrséggel, a polgárőrséggel, a katasztrófavédelemmel, a Nemzeti Adó- és Vámhivatal vámszerveivel, a Pilisi Parkerdő </w:t>
      </w:r>
      <w:proofErr w:type="spellStart"/>
      <w:r>
        <w:t>Zrt-vel</w:t>
      </w:r>
      <w:proofErr w:type="spellEnd"/>
      <w:r>
        <w:t>, a Fővárosi Önkormányzati Rendészeti Igazgatóság természetvédelmi őrszolgálatával, a területileg illetékes vadásztársasággal.</w:t>
      </w:r>
    </w:p>
    <w:p w:rsidR="00F76A5D" w:rsidRDefault="00F76A5D">
      <w:pPr>
        <w:pStyle w:val="Szvegtrzs"/>
        <w:spacing w:before="220" w:after="0" w:line="240" w:lineRule="auto"/>
        <w:jc w:val="both"/>
      </w:pPr>
    </w:p>
    <w:p w:rsidR="00F76A5D" w:rsidRDefault="00F76A5D">
      <w:pPr>
        <w:pStyle w:val="Szvegtrzs"/>
        <w:spacing w:before="220" w:after="0" w:line="240" w:lineRule="auto"/>
        <w:jc w:val="both"/>
      </w:pPr>
    </w:p>
    <w:p w:rsidR="00F76A5D" w:rsidRDefault="00F76A5D">
      <w:pPr>
        <w:pStyle w:val="Szvegtrzs"/>
        <w:spacing w:before="220" w:after="0" w:line="240" w:lineRule="auto"/>
        <w:jc w:val="both"/>
      </w:pP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A mezei őrszolgálat szolgálat működési költségei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(1) Az önkormányzat mezei őrszolgálat megalakítási, fenntartási és működési költségeit a saját bevételeiből, valamint a központi költségvetésben e célra biztosított hozzájárulásból fedezi.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(2) A Képviselő-testület mezőőri járulékot nem állapít meg.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(3) A tényleges földhasználó / tulajdonos bevallás benyújtására nem köteles.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Záró rendelkezések</w:t>
      </w:r>
    </w:p>
    <w:p w:rsidR="001F34A1" w:rsidRDefault="007D5D6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F34A1" w:rsidRDefault="007D5D69">
      <w:pPr>
        <w:pStyle w:val="Szvegtrzs"/>
        <w:spacing w:before="220" w:after="0" w:line="240" w:lineRule="auto"/>
        <w:jc w:val="both"/>
      </w:pPr>
      <w:r>
        <w:t>Ez a rendelet 2021. július 1-jén lép hatályba.</w:t>
      </w:r>
    </w:p>
    <w:p w:rsidR="00AB1289" w:rsidRDefault="00AB1289">
      <w:pPr>
        <w:pStyle w:val="Szvegtrzs"/>
        <w:spacing w:before="220" w:after="0" w:line="240" w:lineRule="auto"/>
        <w:jc w:val="both"/>
      </w:pPr>
    </w:p>
    <w:p w:rsidR="00AB1289" w:rsidRDefault="00AB1289">
      <w:pPr>
        <w:pStyle w:val="Szvegtrzs"/>
        <w:spacing w:before="220" w:after="0" w:line="240" w:lineRule="auto"/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F34A1">
        <w:tc>
          <w:tcPr>
            <w:tcW w:w="4819" w:type="dxa"/>
            <w:shd w:val="clear" w:color="auto" w:fill="auto"/>
          </w:tcPr>
          <w:p w:rsidR="001F34A1" w:rsidRDefault="007D5D69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Őrsi Gergely</w:t>
            </w:r>
            <w:r>
              <w:br/>
              <w:t>polgármester</w:t>
            </w:r>
          </w:p>
        </w:tc>
        <w:tc>
          <w:tcPr>
            <w:tcW w:w="4819" w:type="dxa"/>
            <w:shd w:val="clear" w:color="auto" w:fill="auto"/>
          </w:tcPr>
          <w:p w:rsidR="001F34A1" w:rsidRDefault="007D5D69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  <w:t>jegyző</w:t>
            </w:r>
          </w:p>
        </w:tc>
      </w:tr>
    </w:tbl>
    <w:p w:rsidR="001F34A1" w:rsidRDefault="007D5D69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</w:p>
    <w:p w:rsidR="001F34A1" w:rsidRDefault="007D5D69">
      <w:pPr>
        <w:pStyle w:val="Szvegtrzs"/>
        <w:spacing w:line="240" w:lineRule="auto"/>
        <w:jc w:val="both"/>
        <w:sectPr w:rsidR="001F34A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proofErr w:type="gramStart"/>
      <w:r>
        <w:t>..</w:t>
      </w:r>
      <w:proofErr w:type="gramEnd"/>
      <w:r>
        <w:t>./2021. (.</w:t>
      </w:r>
      <w:proofErr w:type="gramStart"/>
      <w:r>
        <w:t>..</w:t>
      </w:r>
      <w:proofErr w:type="gramEnd"/>
      <w:r>
        <w:t xml:space="preserve">) önkormányzati rendelet 1. számú melléklete (1. számú melléklet </w:t>
      </w:r>
      <w:proofErr w:type="spellStart"/>
      <w:r>
        <w:t>mezőőri.xlsx</w:t>
      </w:r>
      <w:proofErr w:type="spellEnd"/>
      <w:r>
        <w:t>)</w:t>
      </w:r>
    </w:p>
    <w:p w:rsidR="001F34A1" w:rsidRDefault="001F34A1">
      <w:pPr>
        <w:pStyle w:val="Szvegtrzs"/>
        <w:spacing w:after="0"/>
        <w:jc w:val="center"/>
      </w:pPr>
    </w:p>
    <w:p w:rsidR="001F34A1" w:rsidRDefault="007D5D69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1F34A1" w:rsidRDefault="007D5D69">
      <w:pPr>
        <w:pStyle w:val="Szvegtrzs"/>
        <w:spacing w:after="160" w:line="240" w:lineRule="auto"/>
        <w:ind w:left="159"/>
        <w:jc w:val="both"/>
      </w:pPr>
      <w:r>
        <w:t>Budapest Főváros II. Kerületi Önkormányzat Képviselő-testületének a fegyveres biztonsági őrségről, a természetvédelmi és a mezei őrszolgálatról szóló 1997. évi CLIX. törvény (továbbiakban: Törvény) 16. § (1) bekezdésében és 19. § (1) bekezdésében rögzített felhatalmazás lehetőséget biztosít arra, hogy a közigazgatási területéhez tartozó termőföldekre kiterjedő hatállyal mezei őrszolgálatot létesítsen oly módon, hogy a helyi önkormányzati rendeletben az őrszolgálat megalakításáról rendelkezik.</w:t>
      </w:r>
    </w:p>
    <w:p w:rsidR="001F34A1" w:rsidRDefault="007D5D69">
      <w:pPr>
        <w:pStyle w:val="Szvegtrzs"/>
        <w:spacing w:after="160" w:line="240" w:lineRule="auto"/>
        <w:ind w:left="159"/>
        <w:jc w:val="both"/>
      </w:pPr>
      <w:r>
        <w:t>A mezei őrszolgálat a települések közigazgatási területén található termőföldek, továbbá a mezőgazdasági termelést szolgáló építmények őrzését és védelmét látja el, továbbá a hivatkozott Törvény 23. §. (3a) bekezdése rögzíti, hogy jogszabályban meghatározott esetben helyszíni bírság kiszabásával szankcionálhat a mezőőr. A szabálysértésekről, a szabálysértési eljárásról és a szabálysértési nyilvántartási rendszerről szóló 2012. évi II. törvény helyszíni bírság kiszabására jogosult személyként nevezi meg a mezőőrt. </w:t>
      </w:r>
    </w:p>
    <w:p w:rsidR="001F34A1" w:rsidRDefault="007D5D69">
      <w:pPr>
        <w:pStyle w:val="Szvegtrzs"/>
        <w:spacing w:after="160" w:line="240" w:lineRule="auto"/>
        <w:ind w:left="159"/>
        <w:jc w:val="both"/>
      </w:pPr>
      <w:r>
        <w:t>A mezei őrszolgálat létrehozását, a hivatkozott Törvény 17.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értelmében be kell jelenteni a Magyar Agrár-, Élelmiszergazdasági-, Vidékfejlesztési Kamarának, mint mezőgazdasági igazgatási szervnek. A nyilvántartásba vételnél szükséges megadnia az önkormányzatnak a mezei őrszolgálat működési területének nagyságát a működési területhez tartozó földrészletek helyrajzi számának meghatározásával.</w:t>
      </w:r>
    </w:p>
    <w:p w:rsidR="001F34A1" w:rsidRDefault="007D5D69">
      <w:pPr>
        <w:pStyle w:val="Szvegtrzs"/>
        <w:spacing w:before="159" w:after="159" w:line="240" w:lineRule="auto"/>
        <w:ind w:left="159" w:right="159"/>
        <w:jc w:val="both"/>
      </w:pPr>
      <w:r>
        <w:t>A mezőőr feladatát – a hivatkozott Törvény 21. §</w:t>
      </w:r>
      <w:proofErr w:type="spellStart"/>
      <w:r>
        <w:t>-ának</w:t>
      </w:r>
      <w:proofErr w:type="spellEnd"/>
      <w:r>
        <w:t xml:space="preserve"> előírása értelmében az Önkormányzat utasításai szerint végzi, a szakmai felügyeletét a mezőgazdasági igazgatási szerv és az illetékes rendőrkapitányság gyakorolja.</w:t>
      </w:r>
    </w:p>
    <w:p w:rsidR="001F34A1" w:rsidRDefault="007D5D6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1F34A1" w:rsidRDefault="007D5D6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1. § </w:t>
      </w:r>
    </w:p>
    <w:p w:rsidR="001F34A1" w:rsidRDefault="007D5D69">
      <w:pPr>
        <w:pStyle w:val="Szvegtrzs"/>
        <w:spacing w:before="159" w:after="159" w:line="240" w:lineRule="auto"/>
        <w:ind w:left="159" w:right="159"/>
        <w:jc w:val="both"/>
      </w:pPr>
      <w:r>
        <w:t>A Rendelet hatálya került megfogalmazásra.</w:t>
      </w:r>
    </w:p>
    <w:p w:rsidR="001F34A1" w:rsidRDefault="007D5D6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2. § </w:t>
      </w:r>
    </w:p>
    <w:p w:rsidR="001F34A1" w:rsidRDefault="007D5D69">
      <w:pPr>
        <w:pStyle w:val="Szvegtrzs"/>
        <w:spacing w:before="159" w:after="159" w:line="240" w:lineRule="auto"/>
        <w:ind w:left="159" w:right="159"/>
        <w:jc w:val="both"/>
      </w:pPr>
      <w:r>
        <w:t>A mezei őrszolgálat működési feltételei kerültek megfogalmazásra.</w:t>
      </w:r>
    </w:p>
    <w:p w:rsidR="001F34A1" w:rsidRDefault="007D5D6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3. § </w:t>
      </w:r>
    </w:p>
    <w:p w:rsidR="001F34A1" w:rsidRDefault="007D5D69">
      <w:pPr>
        <w:pStyle w:val="Szvegtrzs"/>
        <w:spacing w:before="159" w:after="159" w:line="240" w:lineRule="auto"/>
        <w:ind w:left="159" w:right="159"/>
        <w:jc w:val="both"/>
      </w:pPr>
      <w:r>
        <w:t>A mezei őrszolgálat szolgálat működési költségeiről rendelkezik.</w:t>
      </w:r>
    </w:p>
    <w:p w:rsidR="001F34A1" w:rsidRDefault="007D5D6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4. § </w:t>
      </w:r>
    </w:p>
    <w:p w:rsidR="001F34A1" w:rsidRDefault="007D5D69">
      <w:pPr>
        <w:pStyle w:val="Szvegtrzs"/>
        <w:spacing w:before="159" w:after="159" w:line="240" w:lineRule="auto"/>
        <w:ind w:left="159" w:right="159"/>
        <w:jc w:val="both"/>
      </w:pPr>
      <w:r>
        <w:t>Hatályba léptető rendelkezést tartalmaz.</w:t>
      </w:r>
    </w:p>
    <w:sectPr w:rsidR="001F34A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28" w:rsidRDefault="00874E28">
      <w:r>
        <w:separator/>
      </w:r>
    </w:p>
  </w:endnote>
  <w:endnote w:type="continuationSeparator" w:id="0">
    <w:p w:rsidR="00874E28" w:rsidRDefault="0087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1" w:rsidRDefault="007D5D6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1715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1" w:rsidRDefault="007D5D6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1715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28" w:rsidRDefault="00874E28">
      <w:r>
        <w:separator/>
      </w:r>
    </w:p>
  </w:footnote>
  <w:footnote w:type="continuationSeparator" w:id="0">
    <w:p w:rsidR="00874E28" w:rsidRDefault="0087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1E1A"/>
    <w:multiLevelType w:val="multilevel"/>
    <w:tmpl w:val="1768326E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A1"/>
    <w:rsid w:val="000141E4"/>
    <w:rsid w:val="001F34A1"/>
    <w:rsid w:val="005A26D9"/>
    <w:rsid w:val="007D5D69"/>
    <w:rsid w:val="00874E28"/>
    <w:rsid w:val="00AB1289"/>
    <w:rsid w:val="00B1715D"/>
    <w:rsid w:val="00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A73D-548D-43F6-9E2F-BCF3F99D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dc:description/>
  <cp:lastModifiedBy>Silye Tamás</cp:lastModifiedBy>
  <cp:revision>6</cp:revision>
  <dcterms:created xsi:type="dcterms:W3CDTF">2021-06-14T12:19:00Z</dcterms:created>
  <dcterms:modified xsi:type="dcterms:W3CDTF">2021-06-14T12:25:00Z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