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98" w:rsidRPr="001A3FA6" w:rsidRDefault="00393498" w:rsidP="00393498">
      <w:pPr>
        <w:pStyle w:val="trobekezdes"/>
        <w:jc w:val="right"/>
        <w:rPr>
          <w:szCs w:val="24"/>
          <w:lang w:eastAsia="hu-HU"/>
        </w:rPr>
      </w:pPr>
      <w:r w:rsidRPr="001A3FA6">
        <w:t>……….………(sz.) napirend</w:t>
      </w:r>
    </w:p>
    <w:p w:rsidR="00BE2C53" w:rsidRPr="001A3FA6" w:rsidRDefault="00BE2C53" w:rsidP="00BE2C53">
      <w:pPr>
        <w:pStyle w:val="lfej"/>
        <w:tabs>
          <w:tab w:val="clear" w:pos="4536"/>
          <w:tab w:val="clear" w:pos="9072"/>
        </w:tabs>
        <w:spacing w:line="264" w:lineRule="auto"/>
      </w:pPr>
    </w:p>
    <w:p w:rsidR="00BE2C53" w:rsidRPr="001A3FA6" w:rsidRDefault="00BE2C53" w:rsidP="00BE2C53">
      <w:pPr>
        <w:pStyle w:val="lfej"/>
        <w:tabs>
          <w:tab w:val="clear" w:pos="4536"/>
          <w:tab w:val="clear" w:pos="9072"/>
        </w:tabs>
        <w:spacing w:line="264" w:lineRule="auto"/>
        <w:ind w:right="227"/>
        <w:jc w:val="left"/>
      </w:pPr>
    </w:p>
    <w:p w:rsidR="00BE2C53" w:rsidRPr="001A3FA6" w:rsidRDefault="00BE2C53" w:rsidP="00BE2C53">
      <w:pPr>
        <w:pStyle w:val="lfej"/>
        <w:tabs>
          <w:tab w:val="clear" w:pos="4536"/>
          <w:tab w:val="clear" w:pos="9072"/>
        </w:tabs>
        <w:spacing w:line="264" w:lineRule="auto"/>
        <w:ind w:right="227"/>
        <w:jc w:val="center"/>
        <w:rPr>
          <w:b/>
          <w:bCs/>
          <w:spacing w:val="100"/>
        </w:rPr>
      </w:pPr>
      <w:r w:rsidRPr="001A3FA6">
        <w:rPr>
          <w:b/>
          <w:bCs/>
          <w:spacing w:val="100"/>
        </w:rPr>
        <w:t>ELŐTERJESZTÉS</w:t>
      </w:r>
    </w:p>
    <w:p w:rsidR="00BE2C53" w:rsidRPr="001A3FA6" w:rsidRDefault="00BE2C53" w:rsidP="00BE2C53">
      <w:pPr>
        <w:pStyle w:val="lfej"/>
        <w:tabs>
          <w:tab w:val="clear" w:pos="4536"/>
          <w:tab w:val="clear" w:pos="9072"/>
        </w:tabs>
        <w:spacing w:line="264" w:lineRule="auto"/>
        <w:ind w:right="227"/>
        <w:jc w:val="left"/>
      </w:pPr>
    </w:p>
    <w:p w:rsidR="00BE2C53" w:rsidRPr="001A3FA6" w:rsidRDefault="00BE2C53" w:rsidP="00BE2C53">
      <w:pPr>
        <w:pStyle w:val="lfej"/>
        <w:tabs>
          <w:tab w:val="clear" w:pos="4536"/>
          <w:tab w:val="clear" w:pos="9072"/>
        </w:tabs>
        <w:spacing w:line="264" w:lineRule="auto"/>
        <w:ind w:right="227"/>
        <w:jc w:val="left"/>
      </w:pPr>
    </w:p>
    <w:p w:rsidR="00365463" w:rsidRPr="00185E5C" w:rsidRDefault="00393498" w:rsidP="00BE2C53">
      <w:pPr>
        <w:jc w:val="center"/>
        <w:rPr>
          <w:b/>
          <w:bCs/>
        </w:rPr>
      </w:pPr>
      <w:r w:rsidRPr="00185E5C">
        <w:rPr>
          <w:b/>
        </w:rPr>
        <w:t>Budapest Főváros II. Kerületi Önkormányzat Képviselő-testülete részére</w:t>
      </w:r>
    </w:p>
    <w:p w:rsidR="00365463" w:rsidRPr="00185E5C" w:rsidRDefault="0048209D" w:rsidP="00BE2C53">
      <w:pPr>
        <w:jc w:val="center"/>
        <w:rPr>
          <w:b/>
          <w:bCs/>
        </w:rPr>
      </w:pPr>
      <w:r w:rsidRPr="00185E5C">
        <w:rPr>
          <w:b/>
          <w:bCs/>
        </w:rPr>
        <w:t xml:space="preserve">a veszélyhelyzeti kihirdetéséről és a veszélyhelyzeti intézkedések hatálybalépéséről szóló 27/2021. (I. 29.) Korm. </w:t>
      </w:r>
      <w:r w:rsidR="00365463" w:rsidRPr="00185E5C">
        <w:rPr>
          <w:b/>
          <w:bCs/>
        </w:rPr>
        <w:t xml:space="preserve">rendelet, a katasztrófavédelemről és a hozzá kapcsolódó egyes törvények módosításáról szóló 2011. évi CXXVIII. törvény 46. § (4) bekezdése, valamint Budapest Főváros II. kerületi Önkormányzat Polgármesterének </w:t>
      </w:r>
      <w:r w:rsidRPr="00185E5C">
        <w:rPr>
          <w:b/>
        </w:rPr>
        <w:t>1/2021. (II. 8.)</w:t>
      </w:r>
      <w:r w:rsidRPr="00185E5C">
        <w:rPr>
          <w:b/>
          <w:bCs/>
        </w:rPr>
        <w:t xml:space="preserve"> </w:t>
      </w:r>
      <w:r w:rsidR="00365463" w:rsidRPr="00185E5C">
        <w:rPr>
          <w:b/>
          <w:bCs/>
        </w:rPr>
        <w:t>normatív utasítása alapján</w:t>
      </w:r>
    </w:p>
    <w:p w:rsidR="00365463" w:rsidRPr="001A3FA6" w:rsidRDefault="00365463" w:rsidP="00BE2C53">
      <w:pPr>
        <w:jc w:val="center"/>
        <w:rPr>
          <w:b/>
          <w:bCs/>
        </w:rPr>
      </w:pPr>
    </w:p>
    <w:p w:rsidR="00BE2C53" w:rsidRPr="001A3FA6" w:rsidRDefault="00BE2C53" w:rsidP="00130D3B">
      <w:pPr>
        <w:jc w:val="center"/>
        <w:rPr>
          <w:b/>
          <w:bCs/>
        </w:rPr>
      </w:pPr>
      <w:r w:rsidRPr="001A3FA6">
        <w:rPr>
          <w:b/>
          <w:bCs/>
        </w:rPr>
        <w:t>20</w:t>
      </w:r>
      <w:r w:rsidR="00D94312" w:rsidRPr="001A3FA6">
        <w:rPr>
          <w:b/>
          <w:bCs/>
        </w:rPr>
        <w:t>2</w:t>
      </w:r>
      <w:r w:rsidR="00365463" w:rsidRPr="001A3FA6">
        <w:rPr>
          <w:b/>
          <w:bCs/>
        </w:rPr>
        <w:t>1</w:t>
      </w:r>
      <w:r w:rsidRPr="001A3FA6">
        <w:rPr>
          <w:b/>
          <w:bCs/>
        </w:rPr>
        <w:t xml:space="preserve">. </w:t>
      </w:r>
      <w:r w:rsidR="001A3FA6" w:rsidRPr="001A3FA6">
        <w:rPr>
          <w:b/>
          <w:bCs/>
        </w:rPr>
        <w:t>május</w:t>
      </w:r>
    </w:p>
    <w:p w:rsidR="00BE2C53" w:rsidRPr="001A3FA6" w:rsidRDefault="00BE2C53" w:rsidP="00BE2C53">
      <w:pPr>
        <w:keepLines w:val="0"/>
        <w:spacing w:line="264" w:lineRule="auto"/>
        <w:rPr>
          <w:b/>
          <w:bCs/>
        </w:rPr>
      </w:pPr>
    </w:p>
    <w:p w:rsidR="00BE2C53" w:rsidRPr="001A3FA6" w:rsidRDefault="00BE2C53" w:rsidP="00BE2C53">
      <w:pPr>
        <w:keepLines w:val="0"/>
        <w:spacing w:line="264" w:lineRule="auto"/>
        <w:rPr>
          <w:b/>
          <w:bCs/>
        </w:rPr>
      </w:pPr>
    </w:p>
    <w:p w:rsidR="00C845E6" w:rsidRPr="001A3FA6" w:rsidRDefault="00C845E6" w:rsidP="00BE2C53">
      <w:pPr>
        <w:keepLines w:val="0"/>
        <w:spacing w:line="264" w:lineRule="auto"/>
        <w:rPr>
          <w:b/>
          <w:bCs/>
        </w:rPr>
      </w:pPr>
    </w:p>
    <w:p w:rsidR="00393498" w:rsidRPr="001A3FA6" w:rsidRDefault="00BE2C53" w:rsidP="00725E25">
      <w:pPr>
        <w:pStyle w:val="Cm"/>
        <w:ind w:left="851" w:hanging="851"/>
        <w:jc w:val="both"/>
        <w:rPr>
          <w:b w:val="0"/>
          <w:bCs w:val="0"/>
          <w:sz w:val="24"/>
          <w:lang w:val="hu-HU"/>
        </w:rPr>
      </w:pPr>
      <w:r w:rsidRPr="001A3FA6">
        <w:rPr>
          <w:bCs w:val="0"/>
          <w:sz w:val="24"/>
        </w:rPr>
        <w:t>Tárgy:</w:t>
      </w:r>
      <w:r w:rsidRPr="001A3FA6">
        <w:rPr>
          <w:bCs w:val="0"/>
          <w:sz w:val="24"/>
          <w:lang w:val="hu-HU"/>
        </w:rPr>
        <w:t xml:space="preserve"> </w:t>
      </w:r>
      <w:r w:rsidR="00725E25" w:rsidRPr="001A3FA6">
        <w:rPr>
          <w:bCs w:val="0"/>
          <w:sz w:val="24"/>
          <w:lang w:val="hu-HU"/>
        </w:rPr>
        <w:tab/>
      </w:r>
      <w:r w:rsidR="00EB1FE6" w:rsidRPr="00185E5C">
        <w:rPr>
          <w:b w:val="0"/>
          <w:bCs w:val="0"/>
          <w:sz w:val="24"/>
          <w:lang w:val="hu-HU"/>
        </w:rPr>
        <w:t>Javaslat</w:t>
      </w:r>
      <w:r w:rsidR="00EB1FE6">
        <w:rPr>
          <w:bCs w:val="0"/>
          <w:sz w:val="24"/>
          <w:lang w:val="hu-HU"/>
        </w:rPr>
        <w:t xml:space="preserve"> </w:t>
      </w:r>
      <w:r w:rsidR="00EB1FE6" w:rsidRPr="00185E5C">
        <w:rPr>
          <w:b w:val="0"/>
          <w:bCs w:val="0"/>
          <w:sz w:val="24"/>
          <w:lang w:val="hu-HU"/>
        </w:rPr>
        <w:t xml:space="preserve">a </w:t>
      </w:r>
      <w:r w:rsidR="001A3FA6" w:rsidRPr="00EB1FE6">
        <w:rPr>
          <w:b w:val="0"/>
          <w:bCs w:val="0"/>
          <w:sz w:val="24"/>
          <w:lang w:val="hu-HU" w:eastAsia="hu-HU"/>
        </w:rPr>
        <w:t>B</w:t>
      </w:r>
      <w:r w:rsidR="001A3FA6" w:rsidRPr="001A3FA6">
        <w:rPr>
          <w:b w:val="0"/>
          <w:bCs w:val="0"/>
          <w:sz w:val="24"/>
          <w:lang w:val="hu-HU" w:eastAsia="hu-HU"/>
        </w:rPr>
        <w:t>udapest Főváros II. Kerületi Önkormányzat Képviselő-testületének a gépjármű várakozóhelyek megváltásáról szóló 38/2001.(X.24.) önkormányzati rendelet módosításár</w:t>
      </w:r>
      <w:r w:rsidR="00262417">
        <w:rPr>
          <w:b w:val="0"/>
          <w:bCs w:val="0"/>
          <w:sz w:val="24"/>
          <w:lang w:val="hu-HU" w:eastAsia="hu-HU"/>
        </w:rPr>
        <w:t>a</w:t>
      </w:r>
    </w:p>
    <w:p w:rsidR="00BE2C53" w:rsidRPr="001A3FA6" w:rsidRDefault="00BE2C53" w:rsidP="00BE2C53">
      <w:pPr>
        <w:keepLines w:val="0"/>
        <w:spacing w:line="264" w:lineRule="auto"/>
        <w:ind w:right="227"/>
      </w:pPr>
    </w:p>
    <w:p w:rsidR="00BE2C53" w:rsidRPr="001A3FA6" w:rsidRDefault="00BE2C53" w:rsidP="00BE2C53">
      <w:pPr>
        <w:keepLines w:val="0"/>
        <w:spacing w:line="264" w:lineRule="auto"/>
        <w:ind w:right="227"/>
      </w:pPr>
    </w:p>
    <w:p w:rsidR="00BE2C53" w:rsidRPr="001A3FA6" w:rsidRDefault="00BE2C53" w:rsidP="00BE2C53">
      <w:pPr>
        <w:keepLines w:val="0"/>
        <w:spacing w:line="264" w:lineRule="auto"/>
        <w:ind w:right="227"/>
      </w:pPr>
    </w:p>
    <w:tbl>
      <w:tblPr>
        <w:tblStyle w:val="Rcsostblzat"/>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tblGrid>
      <w:tr w:rsidR="00393498" w:rsidRPr="001A3FA6" w:rsidTr="00393498">
        <w:tc>
          <w:tcPr>
            <w:tcW w:w="1843" w:type="dxa"/>
            <w:hideMark/>
          </w:tcPr>
          <w:p w:rsidR="00393498" w:rsidRPr="001A3FA6" w:rsidRDefault="00393498" w:rsidP="00325912">
            <w:pPr>
              <w:pStyle w:val="tkvkbekezdes"/>
            </w:pPr>
            <w:r w:rsidRPr="001A3FA6">
              <w:rPr>
                <w:rStyle w:val="Kiemels2"/>
              </w:rPr>
              <w:t>Készítette</w:t>
            </w:r>
            <w:r w:rsidRPr="001A3FA6">
              <w:t>:</w:t>
            </w:r>
          </w:p>
        </w:tc>
        <w:tc>
          <w:tcPr>
            <w:tcW w:w="3827" w:type="dxa"/>
            <w:hideMark/>
          </w:tcPr>
          <w:p w:rsidR="00393498" w:rsidRPr="001A3FA6" w:rsidRDefault="00393498" w:rsidP="00393498">
            <w:pPr>
              <w:pStyle w:val="trobekezdes0"/>
              <w:jc w:val="center"/>
            </w:pPr>
            <w:r w:rsidRPr="001A3FA6">
              <w:t>………………………………</w:t>
            </w:r>
          </w:p>
          <w:p w:rsidR="00BA004A" w:rsidRPr="001A3FA6" w:rsidRDefault="00393498" w:rsidP="00BA004A">
            <w:pPr>
              <w:pStyle w:val="trobekezdes0K"/>
            </w:pPr>
            <w:r w:rsidRPr="001A3FA6">
              <w:t>Trummer Tamás</w:t>
            </w:r>
            <w:r w:rsidR="00BA004A">
              <w:t xml:space="preserve"> </w:t>
            </w:r>
            <w:r w:rsidRPr="001A3FA6">
              <w:t>igazgató</w:t>
            </w:r>
            <w:r w:rsidR="00BA004A">
              <w:t xml:space="preserve"> sk</w:t>
            </w:r>
          </w:p>
        </w:tc>
      </w:tr>
      <w:tr w:rsidR="00393498" w:rsidRPr="001A3FA6" w:rsidTr="00393498">
        <w:tc>
          <w:tcPr>
            <w:tcW w:w="1843" w:type="dxa"/>
          </w:tcPr>
          <w:p w:rsidR="00393498" w:rsidRPr="001A3FA6" w:rsidRDefault="00393498" w:rsidP="00325912">
            <w:pPr>
              <w:pStyle w:val="tkvkbekezdes"/>
            </w:pPr>
          </w:p>
        </w:tc>
        <w:tc>
          <w:tcPr>
            <w:tcW w:w="3827" w:type="dxa"/>
          </w:tcPr>
          <w:p w:rsidR="00393498" w:rsidRPr="001A3FA6" w:rsidRDefault="00393498" w:rsidP="00393498">
            <w:pPr>
              <w:pStyle w:val="trobekezdes0"/>
              <w:jc w:val="center"/>
            </w:pPr>
          </w:p>
        </w:tc>
      </w:tr>
      <w:tr w:rsidR="00393498" w:rsidRPr="001A3FA6" w:rsidTr="00393498">
        <w:tc>
          <w:tcPr>
            <w:tcW w:w="1843" w:type="dxa"/>
            <w:hideMark/>
          </w:tcPr>
          <w:p w:rsidR="00393498" w:rsidRPr="001A3FA6" w:rsidRDefault="00393498" w:rsidP="00325912">
            <w:pPr>
              <w:pStyle w:val="tkvkbekezdes"/>
            </w:pPr>
            <w:r w:rsidRPr="001A3FA6">
              <w:rPr>
                <w:rStyle w:val="Kiemels2"/>
              </w:rPr>
              <w:t>Egyeztetve</w:t>
            </w:r>
            <w:r w:rsidRPr="001A3FA6">
              <w:t>:</w:t>
            </w:r>
          </w:p>
        </w:tc>
        <w:tc>
          <w:tcPr>
            <w:tcW w:w="3827" w:type="dxa"/>
            <w:hideMark/>
          </w:tcPr>
          <w:p w:rsidR="00393498" w:rsidRPr="001A3FA6" w:rsidRDefault="00393498" w:rsidP="00393498">
            <w:pPr>
              <w:pStyle w:val="trobekezdes0"/>
              <w:jc w:val="center"/>
            </w:pPr>
            <w:r w:rsidRPr="001A3FA6">
              <w:t>………………………………</w:t>
            </w:r>
          </w:p>
        </w:tc>
      </w:tr>
      <w:tr w:rsidR="00393498" w:rsidRPr="001A3FA6" w:rsidTr="00393498">
        <w:tc>
          <w:tcPr>
            <w:tcW w:w="1843" w:type="dxa"/>
          </w:tcPr>
          <w:p w:rsidR="00393498" w:rsidRPr="001A3FA6" w:rsidRDefault="00393498" w:rsidP="00325912">
            <w:pPr>
              <w:pStyle w:val="tkvkbekezdes"/>
            </w:pPr>
          </w:p>
        </w:tc>
        <w:tc>
          <w:tcPr>
            <w:tcW w:w="3827" w:type="dxa"/>
            <w:hideMark/>
          </w:tcPr>
          <w:p w:rsidR="00BA004A" w:rsidRPr="001A3FA6" w:rsidRDefault="00393498" w:rsidP="00BA004A">
            <w:pPr>
              <w:pStyle w:val="trobekezdes0K"/>
            </w:pPr>
            <w:r w:rsidRPr="001A3FA6">
              <w:t>Szabó Gyula</w:t>
            </w:r>
            <w:r w:rsidR="00BA004A">
              <w:t xml:space="preserve"> </w:t>
            </w:r>
            <w:r w:rsidRPr="001A3FA6">
              <w:t>alpolgármester</w:t>
            </w:r>
            <w:r w:rsidR="00BA004A">
              <w:t xml:space="preserve"> sk</w:t>
            </w:r>
          </w:p>
        </w:tc>
      </w:tr>
      <w:tr w:rsidR="00393498" w:rsidRPr="001A3FA6" w:rsidTr="00393498">
        <w:tc>
          <w:tcPr>
            <w:tcW w:w="1843" w:type="dxa"/>
          </w:tcPr>
          <w:p w:rsidR="00393498" w:rsidRPr="001A3FA6" w:rsidRDefault="00393498" w:rsidP="00325912">
            <w:pPr>
              <w:pStyle w:val="tkvkbekezdes"/>
            </w:pPr>
          </w:p>
        </w:tc>
        <w:tc>
          <w:tcPr>
            <w:tcW w:w="3827" w:type="dxa"/>
          </w:tcPr>
          <w:p w:rsidR="00393498" w:rsidRPr="001A3FA6" w:rsidRDefault="00393498" w:rsidP="00393498">
            <w:pPr>
              <w:pStyle w:val="trobekezdes0"/>
              <w:jc w:val="center"/>
            </w:pPr>
          </w:p>
        </w:tc>
      </w:tr>
      <w:tr w:rsidR="00393498" w:rsidRPr="001A3FA6" w:rsidTr="00393498">
        <w:tc>
          <w:tcPr>
            <w:tcW w:w="1843" w:type="dxa"/>
            <w:hideMark/>
          </w:tcPr>
          <w:p w:rsidR="00393498" w:rsidRPr="001A3FA6" w:rsidRDefault="00393498" w:rsidP="00325912">
            <w:pPr>
              <w:pStyle w:val="tkvkbekezdes"/>
            </w:pPr>
            <w:r w:rsidRPr="001A3FA6">
              <w:rPr>
                <w:rStyle w:val="Kiemels2"/>
              </w:rPr>
              <w:t>Látta</w:t>
            </w:r>
            <w:r w:rsidRPr="001A3FA6">
              <w:t>:</w:t>
            </w:r>
          </w:p>
        </w:tc>
        <w:tc>
          <w:tcPr>
            <w:tcW w:w="3827" w:type="dxa"/>
            <w:hideMark/>
          </w:tcPr>
          <w:p w:rsidR="00393498" w:rsidRPr="001A3FA6" w:rsidRDefault="00393498" w:rsidP="00393498">
            <w:pPr>
              <w:pStyle w:val="trobekezdes0"/>
              <w:jc w:val="center"/>
            </w:pPr>
            <w:r w:rsidRPr="001A3FA6">
              <w:t>………………………………</w:t>
            </w:r>
          </w:p>
          <w:p w:rsidR="00393498" w:rsidRPr="001A3FA6" w:rsidRDefault="00393498" w:rsidP="00BA004A">
            <w:pPr>
              <w:pStyle w:val="trobekezdes0K"/>
            </w:pPr>
            <w:r w:rsidRPr="001A3FA6">
              <w:t>dr. Szalai Tibor</w:t>
            </w:r>
            <w:r w:rsidR="00BA004A">
              <w:t xml:space="preserve"> </w:t>
            </w:r>
            <w:r w:rsidRPr="001A3FA6">
              <w:t>jegyző</w:t>
            </w:r>
          </w:p>
        </w:tc>
      </w:tr>
      <w:tr w:rsidR="00393498" w:rsidRPr="001A3FA6" w:rsidTr="00393498">
        <w:tc>
          <w:tcPr>
            <w:tcW w:w="1843" w:type="dxa"/>
          </w:tcPr>
          <w:p w:rsidR="00393498" w:rsidRPr="001A3FA6" w:rsidRDefault="00393498" w:rsidP="00325912">
            <w:pPr>
              <w:pStyle w:val="tkvkbekezdes"/>
              <w:rPr>
                <w:rStyle w:val="Kiemels2"/>
                <w:u w:val="single"/>
              </w:rPr>
            </w:pPr>
          </w:p>
        </w:tc>
        <w:tc>
          <w:tcPr>
            <w:tcW w:w="3827" w:type="dxa"/>
          </w:tcPr>
          <w:p w:rsidR="00393498" w:rsidRPr="001A3FA6" w:rsidRDefault="00393498" w:rsidP="00393498">
            <w:pPr>
              <w:pStyle w:val="trobekezdes0"/>
              <w:jc w:val="center"/>
            </w:pPr>
          </w:p>
        </w:tc>
      </w:tr>
      <w:tr w:rsidR="00393498" w:rsidRPr="001A3FA6" w:rsidTr="00393498">
        <w:tc>
          <w:tcPr>
            <w:tcW w:w="1843" w:type="dxa"/>
          </w:tcPr>
          <w:p w:rsidR="00393498" w:rsidRPr="001A3FA6" w:rsidRDefault="00393498" w:rsidP="00325912">
            <w:pPr>
              <w:pStyle w:val="tkvkbekezdes"/>
              <w:rPr>
                <w:rStyle w:val="Kiemels2"/>
                <w:u w:val="single"/>
              </w:rPr>
            </w:pPr>
          </w:p>
        </w:tc>
        <w:tc>
          <w:tcPr>
            <w:tcW w:w="3827" w:type="dxa"/>
            <w:hideMark/>
          </w:tcPr>
          <w:p w:rsidR="00393498" w:rsidRPr="001A3FA6" w:rsidRDefault="00393498" w:rsidP="00393498">
            <w:pPr>
              <w:pStyle w:val="trobekezdes0"/>
              <w:jc w:val="center"/>
            </w:pPr>
            <w:r w:rsidRPr="001A3FA6">
              <w:t>………………………………</w:t>
            </w:r>
          </w:p>
          <w:p w:rsidR="00393498" w:rsidRPr="001A3FA6" w:rsidRDefault="00393498" w:rsidP="00BA004A">
            <w:pPr>
              <w:pStyle w:val="trobekezdes0K"/>
            </w:pPr>
            <w:r w:rsidRPr="001A3FA6">
              <w:t>dr. Silye Tamás</w:t>
            </w:r>
            <w:r w:rsidR="00BA004A">
              <w:t xml:space="preserve"> </w:t>
            </w:r>
            <w:r w:rsidRPr="001A3FA6">
              <w:t>igazgató</w:t>
            </w:r>
          </w:p>
        </w:tc>
      </w:tr>
    </w:tbl>
    <w:p w:rsidR="00C845E6" w:rsidRPr="001A3FA6" w:rsidRDefault="00C845E6" w:rsidP="00BE2C53">
      <w:pPr>
        <w:keepLines w:val="0"/>
        <w:spacing w:line="264" w:lineRule="auto"/>
        <w:ind w:right="227"/>
      </w:pPr>
    </w:p>
    <w:p w:rsidR="00BE2C53" w:rsidRPr="001A3FA6" w:rsidRDefault="00BE2C53" w:rsidP="00BE2C53">
      <w:pPr>
        <w:keepLines w:val="0"/>
        <w:spacing w:line="264" w:lineRule="auto"/>
        <w:ind w:right="227"/>
      </w:pPr>
    </w:p>
    <w:p w:rsidR="00BE2C53" w:rsidRPr="001A3FA6" w:rsidRDefault="00BE2C53" w:rsidP="00BE2C53">
      <w:pPr>
        <w:keepLines w:val="0"/>
        <w:spacing w:line="264" w:lineRule="auto"/>
        <w:ind w:right="227"/>
      </w:pPr>
    </w:p>
    <w:p w:rsidR="00BE2C53" w:rsidRPr="001A3FA6" w:rsidRDefault="00BE2C53" w:rsidP="00BE2C53">
      <w:pPr>
        <w:jc w:val="right"/>
      </w:pPr>
      <w:r w:rsidRPr="001A3FA6">
        <w:tab/>
      </w:r>
      <w:r w:rsidRPr="001A3FA6">
        <w:tab/>
      </w:r>
      <w:r w:rsidRPr="001A3FA6">
        <w:tab/>
      </w:r>
      <w:r w:rsidRPr="001A3FA6">
        <w:tab/>
      </w:r>
      <w:r w:rsidR="00185E5C">
        <w:t>Nyílt anyag!</w:t>
      </w:r>
    </w:p>
    <w:p w:rsidR="00BE2C53" w:rsidRPr="001A3FA6" w:rsidRDefault="00BE2C53" w:rsidP="00BE2C53">
      <w:pPr>
        <w:keepLines w:val="0"/>
        <w:spacing w:line="264" w:lineRule="auto"/>
        <w:ind w:right="227"/>
      </w:pPr>
    </w:p>
    <w:p w:rsidR="00BE2C53" w:rsidRPr="001A3FA6" w:rsidRDefault="00BE2C53" w:rsidP="005974C6">
      <w:pPr>
        <w:keepLines w:val="0"/>
        <w:spacing w:before="120" w:after="120"/>
        <w:ind w:right="227"/>
        <w:rPr>
          <w:b/>
          <w:szCs w:val="24"/>
        </w:rPr>
      </w:pPr>
      <w:bookmarkStart w:id="0" w:name="_1190721241"/>
      <w:bookmarkStart w:id="1" w:name="_1190722553"/>
      <w:bookmarkStart w:id="2" w:name="OLE_LINK2"/>
      <w:bookmarkEnd w:id="0"/>
      <w:bookmarkEnd w:id="1"/>
      <w:bookmarkEnd w:id="2"/>
      <w:r w:rsidRPr="001A3FA6">
        <w:rPr>
          <w:highlight w:val="cyan"/>
        </w:rPr>
        <w:br w:type="page"/>
      </w:r>
      <w:r w:rsidRPr="001A3FA6">
        <w:rPr>
          <w:b/>
          <w:szCs w:val="24"/>
        </w:rPr>
        <w:lastRenderedPageBreak/>
        <w:t xml:space="preserve">Tisztelt </w:t>
      </w:r>
      <w:r w:rsidR="00393498" w:rsidRPr="001A3FA6">
        <w:rPr>
          <w:b/>
        </w:rPr>
        <w:t>Képviselő-testület</w:t>
      </w:r>
      <w:r w:rsidRPr="001A3FA6">
        <w:rPr>
          <w:b/>
          <w:szCs w:val="24"/>
        </w:rPr>
        <w:t>!</w:t>
      </w:r>
    </w:p>
    <w:p w:rsidR="000C5E43" w:rsidRPr="001A3FA6" w:rsidRDefault="000C5E43" w:rsidP="005974C6">
      <w:pPr>
        <w:keepLines w:val="0"/>
        <w:spacing w:before="120" w:after="120"/>
        <w:ind w:right="227"/>
        <w:rPr>
          <w:b/>
          <w:szCs w:val="24"/>
        </w:rPr>
      </w:pPr>
    </w:p>
    <w:p w:rsidR="001A3FA6" w:rsidRPr="001A3FA6" w:rsidRDefault="001A3FA6" w:rsidP="001A3FA6">
      <w:pPr>
        <w:keepNext/>
        <w:widowControl w:val="0"/>
        <w:outlineLvl w:val="0"/>
      </w:pPr>
      <w:r w:rsidRPr="001A3FA6">
        <w:t xml:space="preserve">Budapest Főváros II. Kerületi Önkormányzat Képviselő-testületének a gépjármű várakozóhelyek megváltásáról szóló 38/2001.(X.24.) önkormányzati rendeletének pontosítása vált szükségessé a kerület </w:t>
      </w:r>
      <w:r>
        <w:t>intézmény-fejlesztés</w:t>
      </w:r>
      <w:r w:rsidR="00185E5C">
        <w:t>e</w:t>
      </w:r>
      <w:r>
        <w:t xml:space="preserve"> (oktatási intézmény kiemelt beruházás keretében történő bővítése)</w:t>
      </w:r>
      <w:r w:rsidRPr="001A3FA6">
        <w:t xml:space="preserve"> érdekében.</w:t>
      </w:r>
    </w:p>
    <w:p w:rsidR="001A3FA6" w:rsidRPr="001A3FA6" w:rsidRDefault="001A3FA6" w:rsidP="001A3FA6">
      <w:pPr>
        <w:keepNext/>
        <w:widowControl w:val="0"/>
        <w:outlineLvl w:val="0"/>
      </w:pPr>
    </w:p>
    <w:p w:rsidR="001A3FA6" w:rsidRPr="001A3FA6" w:rsidRDefault="001A3FA6" w:rsidP="001A3FA6">
      <w:pPr>
        <w:keepNext/>
        <w:widowControl w:val="0"/>
        <w:outlineLvl w:val="0"/>
      </w:pPr>
      <w:r w:rsidRPr="001A3FA6">
        <w:t>Azáltal nyílna erre lehetőség, hogy a módosítás tervezete, a „műszaki okok” körét kibővítené egy újabb fordulattal, amely a</w:t>
      </w:r>
      <w:r w:rsidR="00C010A1" w:rsidRPr="00C010A1">
        <w:t xml:space="preserve"> </w:t>
      </w:r>
      <w:r w:rsidR="00C010A1" w:rsidRPr="00C010A1">
        <w:rPr>
          <w:u w:val="single"/>
        </w:rPr>
        <w:t xml:space="preserve">közfeladatot ellátó </w:t>
      </w:r>
      <w:r w:rsidR="004939B6">
        <w:rPr>
          <w:u w:val="single"/>
        </w:rPr>
        <w:t xml:space="preserve">oktatási </w:t>
      </w:r>
      <w:r w:rsidR="00C010A1" w:rsidRPr="00C010A1">
        <w:rPr>
          <w:u w:val="single"/>
        </w:rPr>
        <w:t>intézmény bővítése érdekében</w:t>
      </w:r>
      <w:r w:rsidR="004939B6">
        <w:rPr>
          <w:u w:val="single"/>
        </w:rPr>
        <w:t xml:space="preserve"> történő</w:t>
      </w:r>
      <w:r w:rsidRPr="001A3FA6">
        <w:t xml:space="preserve"> </w:t>
      </w:r>
      <w:r w:rsidR="004939B6">
        <w:t>-</w:t>
      </w:r>
      <w:r w:rsidR="00EB1FE6">
        <w:t xml:space="preserve"> </w:t>
      </w:r>
      <w:r w:rsidR="00C010A1">
        <w:t>eset</w:t>
      </w:r>
      <w:r w:rsidRPr="001A3FA6">
        <w:t xml:space="preserve"> lenne. Ennek a megváltási díjtétele az általánostól eltérő, annál lényeges alacsonyabb összeg lenne.</w:t>
      </w:r>
    </w:p>
    <w:p w:rsidR="001A3FA6" w:rsidRPr="001A3FA6" w:rsidRDefault="001A3FA6" w:rsidP="001A3FA6">
      <w:pPr>
        <w:keepNext/>
        <w:widowControl w:val="0"/>
        <w:outlineLvl w:val="0"/>
      </w:pPr>
    </w:p>
    <w:p w:rsidR="001A3FA6" w:rsidRPr="001A3FA6" w:rsidRDefault="001A3FA6" w:rsidP="001A3FA6">
      <w:pPr>
        <w:keepNext/>
        <w:widowControl w:val="0"/>
        <w:outlineLvl w:val="0"/>
      </w:pPr>
      <w:r w:rsidRPr="001A3FA6">
        <w:t xml:space="preserve">A rendeletmódosítás után lehetőség nyílna arra, hogy </w:t>
      </w:r>
      <w:r w:rsidRPr="004939B6">
        <w:t xml:space="preserve">a </w:t>
      </w:r>
      <w:r w:rsidR="00C010A1" w:rsidRPr="00C010A1">
        <w:rPr>
          <w:u w:val="single"/>
        </w:rPr>
        <w:t xml:space="preserve">közfeladatot ellátó </w:t>
      </w:r>
      <w:r w:rsidR="004939B6">
        <w:rPr>
          <w:u w:val="single"/>
        </w:rPr>
        <w:t xml:space="preserve">oktatási </w:t>
      </w:r>
      <w:r w:rsidR="00C010A1" w:rsidRPr="00C010A1">
        <w:rPr>
          <w:u w:val="single"/>
        </w:rPr>
        <w:t>intézmény bővítése</w:t>
      </w:r>
      <w:r w:rsidR="00C010A1" w:rsidRPr="00C010A1">
        <w:t xml:space="preserve"> </w:t>
      </w:r>
      <w:r w:rsidR="00C010A1">
        <w:t>esetén</w:t>
      </w:r>
      <w:r w:rsidRPr="001A3FA6">
        <w:t xml:space="preserve"> elmaradó parkolóhely-szükségletet megváltási díjtétel befizetésével biztosítsák.</w:t>
      </w:r>
    </w:p>
    <w:p w:rsidR="001A3FA6" w:rsidRPr="001A3FA6" w:rsidRDefault="001A3FA6" w:rsidP="001A3FA6">
      <w:pPr>
        <w:keepNext/>
        <w:widowControl w:val="0"/>
        <w:outlineLvl w:val="0"/>
      </w:pPr>
    </w:p>
    <w:p w:rsidR="00EB1FE6" w:rsidRPr="00EB1FE6" w:rsidRDefault="00EB1FE6" w:rsidP="00EB1FE6">
      <w:pPr>
        <w:widowControl w:val="0"/>
        <w:tabs>
          <w:tab w:val="left" w:pos="0"/>
        </w:tabs>
        <w:rPr>
          <w:rFonts w:eastAsia="Arial Unicode MS"/>
          <w:szCs w:val="24"/>
        </w:rPr>
      </w:pPr>
      <w:r w:rsidRPr="00EB1FE6">
        <w:rPr>
          <w:rFonts w:eastAsia="Arial Unicode MS"/>
          <w:szCs w:val="24"/>
        </w:rPr>
        <w:t xml:space="preserve">A Képviselő-testület Magyarország Alaptörvénye 32. cikk (2) bekezdésben, és Magyarország helyi önkormányzatairól szóló 2011. évi CLXXXIX. törvény (a továbbiakban: </w:t>
      </w:r>
      <w:r w:rsidRPr="00185E5C">
        <w:rPr>
          <w:rFonts w:eastAsia="Arial Unicode MS"/>
          <w:szCs w:val="24"/>
        </w:rPr>
        <w:t>Mötv.)</w:t>
      </w:r>
      <w:r w:rsidRPr="00EB1FE6">
        <w:rPr>
          <w:rFonts w:eastAsia="Arial Unicode MS"/>
          <w:szCs w:val="24"/>
        </w:rPr>
        <w:t xml:space="preserve"> 42. § 1. pontjában foglalt felhatalmazás alapján, illetve a Mötv. 23.§ (5) bekezdés </w:t>
      </w:r>
      <w:r w:rsidR="006B549A">
        <w:rPr>
          <w:rFonts w:eastAsia="Arial Unicode MS"/>
          <w:szCs w:val="24"/>
        </w:rPr>
        <w:t>5</w:t>
      </w:r>
      <w:r w:rsidRPr="00EB1FE6">
        <w:rPr>
          <w:rFonts w:eastAsia="Arial Unicode MS"/>
          <w:szCs w:val="24"/>
        </w:rPr>
        <w:t>. pontjában foglaltak jogosult a rendelet-módosítás tárgyában dönteni.</w:t>
      </w:r>
    </w:p>
    <w:p w:rsidR="00EB1FE6" w:rsidRPr="00EB1FE6" w:rsidRDefault="00EB1FE6" w:rsidP="00EB1FE6">
      <w:pPr>
        <w:widowControl w:val="0"/>
        <w:tabs>
          <w:tab w:val="left" w:pos="0"/>
        </w:tabs>
        <w:rPr>
          <w:rFonts w:eastAsia="Arial Unicode MS"/>
          <w:szCs w:val="24"/>
        </w:rPr>
      </w:pPr>
    </w:p>
    <w:p w:rsidR="00EB1FE6" w:rsidRDefault="00EB1FE6" w:rsidP="00EB1FE6">
      <w:pPr>
        <w:widowControl w:val="0"/>
        <w:tabs>
          <w:tab w:val="left" w:pos="0"/>
        </w:tabs>
        <w:rPr>
          <w:rFonts w:eastAsia="Arial Unicode MS"/>
          <w:bCs/>
          <w:szCs w:val="24"/>
        </w:rPr>
      </w:pPr>
      <w:r w:rsidRPr="00EB1FE6">
        <w:rPr>
          <w:rFonts w:eastAsia="Arial Unicode MS"/>
          <w:bCs/>
          <w:szCs w:val="24"/>
        </w:rPr>
        <w:t>A</w:t>
      </w:r>
      <w:r w:rsidRPr="00EB1FE6">
        <w:rPr>
          <w:rFonts w:eastAsia="Arial Unicode MS"/>
          <w:b/>
          <w:szCs w:val="24"/>
        </w:rPr>
        <w:t xml:space="preserve"> </w:t>
      </w:r>
      <w:r w:rsidRPr="00EB1FE6">
        <w:rPr>
          <w:rFonts w:eastAsia="Arial Unicode MS"/>
          <w:szCs w:val="24"/>
        </w:rPr>
        <w:t xml:space="preserve">veszélyhelyzet kihirdetéséről és a veszélyhelyzeti intézkedések hatálybalépéséről </w:t>
      </w:r>
      <w:r w:rsidRPr="00EB1FE6">
        <w:rPr>
          <w:rFonts w:eastAsia="Arial Unicode MS"/>
          <w:bCs/>
          <w:szCs w:val="24"/>
        </w:rPr>
        <w:t xml:space="preserve">szóló </w:t>
      </w:r>
      <w:r w:rsidRPr="00EB1FE6">
        <w:rPr>
          <w:rFonts w:eastAsia="Arial Unicode MS"/>
          <w:szCs w:val="24"/>
        </w:rPr>
        <w:t xml:space="preserve">27/2021.(I.29.) </w:t>
      </w:r>
      <w:r w:rsidRPr="00EB1FE6">
        <w:rPr>
          <w:rFonts w:eastAsia="Arial Unicode MS"/>
          <w:bCs/>
          <w:szCs w:val="24"/>
        </w:rPr>
        <w:t>Korm. rendelet, valamint katasztrófavédelemről és a hozzá kapcsolódó egyes törvények módosításáról szóló 2011. évi CXXVIII. törvény (a továbbiakban: Kat.) 46. § (4) bekezdése alapján a veszélyhelyzetben a települési önkormányzat képviselő-testületének feladat- és hatáskörét a polgármester gyakorolja.</w:t>
      </w:r>
    </w:p>
    <w:p w:rsidR="00EB1FE6" w:rsidRPr="00EB1FE6" w:rsidRDefault="00EB1FE6" w:rsidP="00EB1FE6">
      <w:pPr>
        <w:widowControl w:val="0"/>
        <w:tabs>
          <w:tab w:val="left" w:pos="0"/>
        </w:tabs>
        <w:rPr>
          <w:rFonts w:eastAsia="Arial Unicode MS"/>
          <w:bCs/>
          <w:szCs w:val="24"/>
        </w:rPr>
      </w:pPr>
    </w:p>
    <w:p w:rsidR="00EB1FE6" w:rsidRDefault="00EB1FE6" w:rsidP="00EB1FE6">
      <w:pPr>
        <w:widowControl w:val="0"/>
        <w:tabs>
          <w:tab w:val="left" w:pos="0"/>
        </w:tabs>
        <w:rPr>
          <w:rFonts w:eastAsia="Arial Unicode MS"/>
          <w:bCs/>
          <w:szCs w:val="24"/>
        </w:rPr>
      </w:pPr>
      <w:r w:rsidRPr="00EB1FE6">
        <w:rPr>
          <w:rFonts w:eastAsia="Arial Unicode MS"/>
          <w:bCs/>
          <w:szCs w:val="24"/>
        </w:rPr>
        <w:t>2021. február 8. napján hatályba lépett Budapest Főváros II. Kerületi Önkormányzat Polgármesterének egyes önkormányzati döntések veszélyhelyzet idején való előkészítésének és kiadmányozásának rendjéről szóló 1/2021. (II. 8.) normatív utasítása, amely a Kat 46. § (4) bekezdése szerint a polgármester által gyakorolt hatáskörök tekintetében a döntések előkészítésére és kiadmányozására vonatkozó szabályokat tartalmazza.</w:t>
      </w:r>
    </w:p>
    <w:p w:rsidR="006B549A" w:rsidRPr="00EB1FE6" w:rsidRDefault="006B549A" w:rsidP="00EB1FE6">
      <w:pPr>
        <w:widowControl w:val="0"/>
        <w:tabs>
          <w:tab w:val="left" w:pos="0"/>
        </w:tabs>
        <w:rPr>
          <w:rFonts w:eastAsia="Arial Unicode MS"/>
          <w:szCs w:val="24"/>
        </w:rPr>
      </w:pPr>
    </w:p>
    <w:p w:rsidR="00EB1FE6" w:rsidRPr="00EB1FE6" w:rsidRDefault="00EB1FE6" w:rsidP="00EB1FE6">
      <w:pPr>
        <w:widowControl w:val="0"/>
        <w:tabs>
          <w:tab w:val="left" w:pos="0"/>
        </w:tabs>
        <w:rPr>
          <w:rFonts w:eastAsia="Arial Unicode MS"/>
          <w:szCs w:val="24"/>
        </w:rPr>
      </w:pPr>
      <w:r w:rsidRPr="00EB1FE6">
        <w:rPr>
          <w:rFonts w:eastAsia="Arial Unicode MS"/>
          <w:szCs w:val="24"/>
        </w:rPr>
        <w:t>Fentiekre tekintettel kérem a Tisztelt Képviselő-testületet, hogy alakítsa ki véleményét a Polgármesteri döntés előtt.</w:t>
      </w:r>
    </w:p>
    <w:p w:rsidR="00EB1FE6" w:rsidRPr="00EB1FE6" w:rsidRDefault="00EB1FE6" w:rsidP="00EB1FE6">
      <w:pPr>
        <w:widowControl w:val="0"/>
        <w:tabs>
          <w:tab w:val="left" w:pos="0"/>
        </w:tabs>
        <w:rPr>
          <w:rFonts w:eastAsia="Arial Unicode MS"/>
          <w:i/>
          <w:szCs w:val="24"/>
        </w:rPr>
      </w:pPr>
    </w:p>
    <w:p w:rsidR="007B1EB3" w:rsidRPr="00530C4A" w:rsidRDefault="007B1EB3" w:rsidP="00A71BF9">
      <w:pPr>
        <w:widowControl w:val="0"/>
        <w:tabs>
          <w:tab w:val="left" w:pos="0"/>
        </w:tabs>
        <w:rPr>
          <w:rFonts w:eastAsia="Arial Unicode MS"/>
          <w:szCs w:val="24"/>
        </w:rPr>
      </w:pPr>
    </w:p>
    <w:p w:rsidR="007B1EB3" w:rsidRPr="00530C4A" w:rsidRDefault="006B549A" w:rsidP="00A71BF9">
      <w:pPr>
        <w:widowControl w:val="0"/>
        <w:tabs>
          <w:tab w:val="left" w:pos="0"/>
        </w:tabs>
        <w:rPr>
          <w:rFonts w:eastAsia="Arial Unicode MS"/>
          <w:szCs w:val="24"/>
        </w:rPr>
      </w:pPr>
      <w:r>
        <w:rPr>
          <w:rFonts w:eastAsia="Arial Unicode MS"/>
          <w:szCs w:val="24"/>
        </w:rPr>
        <w:t xml:space="preserve">Budapest, 2021. május </w:t>
      </w:r>
      <w:r w:rsidR="00185E5C">
        <w:rPr>
          <w:rFonts w:eastAsia="Arial Unicode MS"/>
          <w:szCs w:val="24"/>
        </w:rPr>
        <w:t>19.</w:t>
      </w:r>
      <w:bookmarkStart w:id="3" w:name="_GoBack"/>
      <w:bookmarkEnd w:id="3"/>
    </w:p>
    <w:p w:rsidR="007B1EB3" w:rsidRPr="00530C4A" w:rsidRDefault="007B1EB3" w:rsidP="00A71BF9">
      <w:pPr>
        <w:widowControl w:val="0"/>
        <w:tabs>
          <w:tab w:val="left" w:pos="0"/>
        </w:tabs>
        <w:rPr>
          <w:rFonts w:eastAsia="Arial Unicode MS"/>
          <w:szCs w:val="24"/>
        </w:rPr>
      </w:pPr>
    </w:p>
    <w:p w:rsidR="00A71BF9" w:rsidRPr="00530C4A" w:rsidRDefault="00A71BF9" w:rsidP="00A71BF9">
      <w:pPr>
        <w:ind w:left="5664" w:hanging="5664"/>
        <w:rPr>
          <w:bCs/>
          <w:sz w:val="22"/>
          <w:szCs w:val="22"/>
        </w:rPr>
      </w:pPr>
    </w:p>
    <w:p w:rsidR="00A71BF9" w:rsidRPr="00530C4A" w:rsidRDefault="00A71BF9" w:rsidP="00A71BF9">
      <w:pPr>
        <w:keepLines w:val="0"/>
        <w:ind w:left="5664" w:firstLine="708"/>
        <w:rPr>
          <w:bCs/>
          <w:szCs w:val="24"/>
        </w:rPr>
      </w:pPr>
      <w:r w:rsidRPr="00530C4A">
        <w:rPr>
          <w:b/>
          <w:bCs/>
          <w:szCs w:val="24"/>
        </w:rPr>
        <w:t>Őrsi Gergely</w:t>
      </w:r>
    </w:p>
    <w:p w:rsidR="005974C6" w:rsidRPr="00530C4A" w:rsidRDefault="00A71BF9" w:rsidP="00A71BF9">
      <w:pPr>
        <w:keepLines w:val="0"/>
        <w:suppressAutoHyphens w:val="0"/>
        <w:spacing w:after="160" w:line="259" w:lineRule="auto"/>
        <w:jc w:val="left"/>
        <w:rPr>
          <w:b/>
          <w:bCs/>
          <w:szCs w:val="24"/>
        </w:rPr>
      </w:pPr>
      <w:r w:rsidRPr="00530C4A">
        <w:rPr>
          <w:bCs/>
          <w:sz w:val="22"/>
          <w:szCs w:val="22"/>
        </w:rPr>
        <w:tab/>
        <w:t xml:space="preserve">   </w:t>
      </w:r>
      <w:r w:rsidRPr="00530C4A">
        <w:rPr>
          <w:bCs/>
          <w:sz w:val="22"/>
          <w:szCs w:val="22"/>
        </w:rPr>
        <w:tab/>
      </w:r>
      <w:r w:rsidRPr="00530C4A">
        <w:rPr>
          <w:bCs/>
          <w:sz w:val="22"/>
          <w:szCs w:val="22"/>
        </w:rPr>
        <w:tab/>
      </w:r>
      <w:r w:rsidRPr="00530C4A">
        <w:rPr>
          <w:bCs/>
          <w:sz w:val="22"/>
          <w:szCs w:val="22"/>
        </w:rPr>
        <w:tab/>
      </w:r>
      <w:r w:rsidRPr="00530C4A">
        <w:rPr>
          <w:bCs/>
          <w:sz w:val="22"/>
          <w:szCs w:val="22"/>
        </w:rPr>
        <w:tab/>
        <w:t xml:space="preserve">                 </w:t>
      </w:r>
      <w:r w:rsidRPr="00530C4A">
        <w:rPr>
          <w:bCs/>
          <w:sz w:val="22"/>
          <w:szCs w:val="22"/>
        </w:rPr>
        <w:tab/>
      </w:r>
      <w:r w:rsidRPr="00530C4A">
        <w:rPr>
          <w:bCs/>
          <w:sz w:val="22"/>
          <w:szCs w:val="22"/>
        </w:rPr>
        <w:tab/>
      </w:r>
      <w:r w:rsidRPr="00530C4A">
        <w:rPr>
          <w:b/>
          <w:bCs/>
          <w:sz w:val="22"/>
          <w:szCs w:val="22"/>
        </w:rPr>
        <w:t xml:space="preserve">             </w:t>
      </w:r>
      <w:r w:rsidRPr="00530C4A">
        <w:rPr>
          <w:b/>
          <w:bCs/>
          <w:szCs w:val="24"/>
        </w:rPr>
        <w:t>polgármester</w:t>
      </w:r>
    </w:p>
    <w:p w:rsidR="001A3FA6" w:rsidRPr="00530C4A" w:rsidRDefault="001A3FA6" w:rsidP="001A3FA6">
      <w:pPr>
        <w:tabs>
          <w:tab w:val="center" w:pos="6804"/>
        </w:tabs>
        <w:spacing w:after="60"/>
        <w:outlineLvl w:val="0"/>
        <w:rPr>
          <w:b/>
        </w:rPr>
      </w:pPr>
    </w:p>
    <w:p w:rsidR="001A3FA6" w:rsidRPr="00530C4A" w:rsidRDefault="001A3FA6" w:rsidP="001A3FA6">
      <w:pPr>
        <w:tabs>
          <w:tab w:val="center" w:pos="6804"/>
        </w:tabs>
        <w:spacing w:after="60"/>
        <w:outlineLvl w:val="0"/>
        <w:rPr>
          <w:b/>
        </w:rPr>
        <w:sectPr w:rsidR="001A3FA6" w:rsidRPr="00530C4A" w:rsidSect="001A3FA6">
          <w:headerReference w:type="even" r:id="rId8"/>
          <w:footerReference w:type="default" r:id="rId9"/>
          <w:headerReference w:type="first" r:id="rId10"/>
          <w:pgSz w:w="11907" w:h="16840"/>
          <w:pgMar w:top="1276" w:right="1418" w:bottom="1418" w:left="1418" w:header="851" w:footer="851" w:gutter="0"/>
          <w:cols w:space="708"/>
          <w:titlePg/>
          <w:docGrid w:linePitch="326"/>
        </w:sectPr>
      </w:pPr>
    </w:p>
    <w:p w:rsidR="001A3FA6" w:rsidRPr="00AD0B6C" w:rsidRDefault="001A3FA6" w:rsidP="001A3FA6">
      <w:pPr>
        <w:rPr>
          <w:highlight w:val="cyan"/>
        </w:rPr>
      </w:pPr>
    </w:p>
    <w:tbl>
      <w:tblPr>
        <w:tblW w:w="4942" w:type="pct"/>
        <w:tblInd w:w="107" w:type="dxa"/>
        <w:tblBorders>
          <w:top w:val="single" w:sz="4" w:space="0" w:color="auto"/>
          <w:insideV w:val="single" w:sz="4" w:space="0" w:color="auto"/>
        </w:tblBorders>
        <w:tblLayout w:type="fixed"/>
        <w:tblLook w:val="01E0" w:firstRow="1" w:lastRow="1" w:firstColumn="1" w:lastColumn="1" w:noHBand="0" w:noVBand="0"/>
      </w:tblPr>
      <w:tblGrid>
        <w:gridCol w:w="7706"/>
        <w:gridCol w:w="7812"/>
        <w:gridCol w:w="6"/>
      </w:tblGrid>
      <w:tr w:rsidR="001A3FA6" w:rsidRPr="001C4048" w:rsidTr="001A3FA6">
        <w:trPr>
          <w:gridAfter w:val="1"/>
          <w:wAfter w:w="2" w:type="pct"/>
          <w:cantSplit/>
          <w:trHeight w:val="20"/>
          <w:tblHeader/>
        </w:trPr>
        <w:tc>
          <w:tcPr>
            <w:tcW w:w="2482" w:type="pct"/>
            <w:tcBorders>
              <w:top w:val="single" w:sz="4" w:space="0" w:color="auto"/>
              <w:bottom w:val="single" w:sz="4" w:space="0" w:color="auto"/>
            </w:tcBorders>
            <w:shd w:val="clear" w:color="auto" w:fill="auto"/>
            <w:hideMark/>
          </w:tcPr>
          <w:p w:rsidR="001A3FA6" w:rsidRPr="001C4048" w:rsidRDefault="001A3FA6" w:rsidP="001A3FA6">
            <w:pPr>
              <w:jc w:val="center"/>
              <w:rPr>
                <w:b/>
                <w:bCs/>
                <w:sz w:val="20"/>
              </w:rPr>
            </w:pPr>
            <w:r w:rsidRPr="001C4048">
              <w:rPr>
                <w:b/>
                <w:bCs/>
              </w:rPr>
              <w:t>Jelenlegi szabályozás</w:t>
            </w:r>
          </w:p>
        </w:tc>
        <w:tc>
          <w:tcPr>
            <w:tcW w:w="2516" w:type="pct"/>
            <w:tcBorders>
              <w:top w:val="single" w:sz="4" w:space="0" w:color="auto"/>
              <w:bottom w:val="single" w:sz="4" w:space="0" w:color="auto"/>
            </w:tcBorders>
            <w:shd w:val="clear" w:color="auto" w:fill="auto"/>
            <w:hideMark/>
          </w:tcPr>
          <w:p w:rsidR="001A3FA6" w:rsidRPr="001C4048" w:rsidRDefault="001A3FA6" w:rsidP="001A3FA6">
            <w:pPr>
              <w:jc w:val="center"/>
              <w:rPr>
                <w:b/>
                <w:bCs/>
              </w:rPr>
            </w:pPr>
            <w:r w:rsidRPr="001C4048">
              <w:rPr>
                <w:b/>
                <w:bCs/>
              </w:rPr>
              <w:t>Javasolt módosítás</w:t>
            </w:r>
          </w:p>
        </w:tc>
      </w:tr>
      <w:tr w:rsidR="001A3FA6" w:rsidRPr="001C4048" w:rsidTr="001A3FA6">
        <w:trPr>
          <w:gridAfter w:val="1"/>
          <w:wAfter w:w="2" w:type="pct"/>
          <w:cantSplit/>
          <w:trHeight w:val="20"/>
        </w:trPr>
        <w:tc>
          <w:tcPr>
            <w:tcW w:w="2482" w:type="pct"/>
            <w:tcBorders>
              <w:top w:val="single" w:sz="4" w:space="0" w:color="auto"/>
              <w:bottom w:val="single" w:sz="4" w:space="0" w:color="auto"/>
            </w:tcBorders>
            <w:shd w:val="clear" w:color="auto" w:fill="auto"/>
          </w:tcPr>
          <w:p w:rsidR="001A3FA6" w:rsidRPr="001C4048" w:rsidRDefault="001A3FA6" w:rsidP="001A3FA6">
            <w:pPr>
              <w:spacing w:line="276" w:lineRule="auto"/>
              <w:rPr>
                <w:rFonts w:ascii="TimesNewRomanPS-BoldMT" w:hAnsi="TimesNewRomanPS-BoldMT"/>
                <w:b/>
                <w:bCs/>
                <w:color w:val="000000"/>
                <w:sz w:val="20"/>
              </w:rPr>
            </w:pPr>
            <w:r w:rsidRPr="001C4048">
              <w:rPr>
                <w:rFonts w:ascii="TimesNewRomanPS-BoldMT" w:hAnsi="TimesNewRomanPS-BoldMT"/>
                <w:b/>
                <w:bCs/>
                <w:color w:val="000000"/>
                <w:sz w:val="20"/>
              </w:rPr>
              <w:t>-</w:t>
            </w:r>
          </w:p>
        </w:tc>
        <w:tc>
          <w:tcPr>
            <w:tcW w:w="2516" w:type="pct"/>
            <w:tcBorders>
              <w:top w:val="single" w:sz="4" w:space="0" w:color="auto"/>
              <w:bottom w:val="single" w:sz="4" w:space="0" w:color="auto"/>
            </w:tcBorders>
            <w:shd w:val="clear" w:color="auto" w:fill="auto"/>
          </w:tcPr>
          <w:p w:rsidR="00D01DA5" w:rsidRPr="00185E5C" w:rsidRDefault="00D01DA5" w:rsidP="00D01DA5">
            <w:pPr>
              <w:pStyle w:val="Szvegtrzs"/>
              <w:spacing w:before="220" w:after="0"/>
              <w:jc w:val="both"/>
              <w:rPr>
                <w:sz w:val="20"/>
                <w:szCs w:val="20"/>
              </w:rPr>
            </w:pPr>
            <w:r w:rsidRPr="00185E5C">
              <w:rPr>
                <w:sz w:val="20"/>
                <w:szCs w:val="20"/>
              </w:rPr>
              <w:t>Budapest Főváros II. Kerületi Önkormányzat Képviselő-testülete – a 27/2021. (I.29.) Korm. rendelettel kihirdetett veszélyhelyzetben a katasztrófavédelemről és a hozzá kapcsolódó egyes törvények módosításáról szóló 2011. évi CXXVIII. törvény 46. § (4) bekezdése szerinti – hatáskörében eljáró Budapest Főváros II. Kerületi Önkormányzat polgármestere Magyarország Alaptörvénye 32. cikk (2) bekezdésében meghatározott eredeti jogalkotói hatáskörében, valamint Magyarország Alaptörvénye 32. cikk (1) bekezdés a) pontjában és a Magyarország helyi önkormányzatairól szóló 2011. évi CLXXXIX. törvény 23. § (5) bekezdés 5. pontjában foglalt feladatkörében eljárva a következőket rendeli el:</w:t>
            </w:r>
          </w:p>
          <w:p w:rsidR="001A3FA6" w:rsidRPr="001C4048" w:rsidRDefault="001A3FA6" w:rsidP="001A3FA6">
            <w:pPr>
              <w:tabs>
                <w:tab w:val="left" w:pos="284"/>
                <w:tab w:val="left" w:pos="1276"/>
              </w:tabs>
              <w:spacing w:line="276" w:lineRule="auto"/>
              <w:rPr>
                <w:sz w:val="20"/>
              </w:rPr>
            </w:pPr>
          </w:p>
        </w:tc>
      </w:tr>
      <w:tr w:rsidR="001A3FA6" w:rsidRPr="001C4048" w:rsidTr="001A3FA6">
        <w:tblPrEx>
          <w:tblLook w:val="04A0" w:firstRow="1" w:lastRow="0" w:firstColumn="1" w:lastColumn="0" w:noHBand="0" w:noVBand="1"/>
        </w:tblPrEx>
        <w:trPr>
          <w:cantSplit/>
          <w:trHeight w:val="20"/>
          <w:hidden/>
        </w:trPr>
        <w:tc>
          <w:tcPr>
            <w:tcW w:w="2482" w:type="pct"/>
            <w:shd w:val="clear" w:color="auto" w:fill="auto"/>
          </w:tcPr>
          <w:p w:rsidR="001A3FA6" w:rsidRPr="001C4048" w:rsidRDefault="001A3FA6" w:rsidP="001A3FA6">
            <w:pPr>
              <w:jc w:val="center"/>
              <w:outlineLvl w:val="0"/>
              <w:rPr>
                <w:b/>
                <w:vanish/>
                <w:sz w:val="20"/>
              </w:rPr>
            </w:pPr>
            <w:r w:rsidRPr="001C4048">
              <w:rPr>
                <w:b/>
                <w:vanish/>
                <w:sz w:val="20"/>
              </w:rPr>
              <w:t>38/2001.(X.24.) Budapest Főváros II. Kerületi Önkormányzat</w:t>
            </w:r>
          </w:p>
          <w:p w:rsidR="001A3FA6" w:rsidRPr="001C4048" w:rsidRDefault="001A3FA6" w:rsidP="001A3FA6">
            <w:pPr>
              <w:jc w:val="center"/>
              <w:outlineLvl w:val="0"/>
              <w:rPr>
                <w:b/>
                <w:vanish/>
                <w:sz w:val="20"/>
              </w:rPr>
            </w:pPr>
            <w:r w:rsidRPr="001C4048">
              <w:rPr>
                <w:b/>
                <w:vanish/>
                <w:sz w:val="20"/>
              </w:rPr>
              <w:t>Képviselő-testületének önkormányzati rendelete</w:t>
            </w:r>
          </w:p>
          <w:p w:rsidR="001A3FA6" w:rsidRPr="001C4048" w:rsidRDefault="001A3FA6" w:rsidP="001A3FA6">
            <w:pPr>
              <w:jc w:val="center"/>
              <w:outlineLvl w:val="0"/>
              <w:rPr>
                <w:b/>
                <w:vanish/>
                <w:sz w:val="20"/>
              </w:rPr>
            </w:pPr>
            <w:r w:rsidRPr="001C4048">
              <w:rPr>
                <w:b/>
                <w:vanish/>
                <w:sz w:val="20"/>
              </w:rPr>
              <w:t>a gépjármű várakozóhelyek megváltásáról</w:t>
            </w:r>
          </w:p>
          <w:p w:rsidR="001A3FA6" w:rsidRPr="001C4048" w:rsidRDefault="001A3FA6" w:rsidP="001A3FA6">
            <w:pPr>
              <w:jc w:val="center"/>
              <w:outlineLvl w:val="0"/>
              <w:rPr>
                <w:b/>
                <w:vanish/>
                <w:sz w:val="20"/>
              </w:rPr>
            </w:pPr>
            <w:r w:rsidRPr="001C4048">
              <w:rPr>
                <w:b/>
                <w:vanish/>
                <w:sz w:val="20"/>
              </w:rPr>
              <w:t>(Egységes szerkezetben a módosító 10/2004.(IV.28.) rendelettel.)</w:t>
            </w:r>
          </w:p>
        </w:tc>
        <w:tc>
          <w:tcPr>
            <w:tcW w:w="2518" w:type="pct"/>
            <w:gridSpan w:val="2"/>
            <w:tcBorders>
              <w:left w:val="single" w:sz="4" w:space="0" w:color="auto"/>
            </w:tcBorders>
            <w:shd w:val="clear" w:color="auto" w:fill="auto"/>
          </w:tcPr>
          <w:p w:rsidR="001A3FA6" w:rsidRPr="001C4048" w:rsidRDefault="001A3FA6" w:rsidP="001A3FA6">
            <w:pPr>
              <w:jc w:val="center"/>
              <w:outlineLvl w:val="0"/>
              <w:rPr>
                <w:b/>
                <w:vanish/>
                <w:sz w:val="20"/>
              </w:rPr>
            </w:pPr>
          </w:p>
        </w:tc>
      </w:tr>
      <w:tr w:rsidR="001A3FA6" w:rsidRPr="001C4048" w:rsidTr="001A3FA6">
        <w:tblPrEx>
          <w:tblLook w:val="04A0" w:firstRow="1" w:lastRow="0" w:firstColumn="1" w:lastColumn="0" w:noHBand="0" w:noVBand="1"/>
        </w:tblPrEx>
        <w:trPr>
          <w:cantSplit/>
          <w:trHeight w:val="20"/>
          <w:hidden/>
        </w:trPr>
        <w:tc>
          <w:tcPr>
            <w:tcW w:w="2482" w:type="pct"/>
            <w:shd w:val="clear" w:color="auto" w:fill="auto"/>
          </w:tcPr>
          <w:p w:rsidR="001A3FA6" w:rsidRPr="001C4048" w:rsidRDefault="001A3FA6" w:rsidP="001A3FA6">
            <w:pPr>
              <w:keepNext/>
              <w:suppressLineNumbers/>
              <w:spacing w:before="60"/>
              <w:jc w:val="center"/>
              <w:rPr>
                <w:rFonts w:ascii="Times New Roman félkövér" w:hAnsi="Times New Roman félkövér"/>
                <w:b/>
                <w:vanish/>
                <w:sz w:val="20"/>
              </w:rPr>
            </w:pPr>
            <w:r w:rsidRPr="001C4048">
              <w:rPr>
                <w:rFonts w:ascii="Times New Roman félkövér" w:hAnsi="Times New Roman félkövér"/>
                <w:b/>
                <w:vanish/>
                <w:sz w:val="20"/>
              </w:rPr>
              <w:t>Általános rendelkezések</w:t>
            </w:r>
          </w:p>
        </w:tc>
        <w:tc>
          <w:tcPr>
            <w:tcW w:w="2518" w:type="pct"/>
            <w:gridSpan w:val="2"/>
            <w:tcBorders>
              <w:left w:val="single" w:sz="4" w:space="0" w:color="auto"/>
            </w:tcBorders>
            <w:shd w:val="clear" w:color="auto" w:fill="auto"/>
          </w:tcPr>
          <w:p w:rsidR="001A3FA6" w:rsidRPr="001C4048" w:rsidRDefault="001A3FA6" w:rsidP="001A3FA6">
            <w:pPr>
              <w:keepNext/>
              <w:suppressLineNumbers/>
              <w:spacing w:before="60"/>
              <w:jc w:val="center"/>
              <w:rPr>
                <w:rFonts w:ascii="Times New Roman félkövér" w:hAnsi="Times New Roman félkövér"/>
                <w:b/>
                <w:vanish/>
                <w:sz w:val="20"/>
              </w:rPr>
            </w:pPr>
          </w:p>
        </w:tc>
      </w:tr>
      <w:tr w:rsidR="001A3FA6" w:rsidRPr="001C4048" w:rsidTr="001A3FA6">
        <w:tblPrEx>
          <w:tblLook w:val="04A0" w:firstRow="1" w:lastRow="0" w:firstColumn="1" w:lastColumn="0" w:noHBand="0" w:noVBand="1"/>
        </w:tblPrEx>
        <w:trPr>
          <w:cantSplit/>
          <w:trHeight w:val="20"/>
          <w:hidden/>
        </w:trPr>
        <w:tc>
          <w:tcPr>
            <w:tcW w:w="2482" w:type="pct"/>
            <w:shd w:val="clear" w:color="auto" w:fill="auto"/>
          </w:tcPr>
          <w:p w:rsidR="001A3FA6" w:rsidRPr="001C4048" w:rsidRDefault="001A3FA6" w:rsidP="001A3FA6">
            <w:pPr>
              <w:keepNext/>
              <w:spacing w:before="60"/>
              <w:jc w:val="center"/>
              <w:rPr>
                <w:b/>
                <w:vanish/>
                <w:sz w:val="20"/>
              </w:rPr>
            </w:pPr>
            <w:r w:rsidRPr="001C4048">
              <w:rPr>
                <w:b/>
                <w:vanish/>
                <w:sz w:val="20"/>
              </w:rPr>
              <w:t>1. §</w:t>
            </w:r>
          </w:p>
        </w:tc>
        <w:tc>
          <w:tcPr>
            <w:tcW w:w="2518" w:type="pct"/>
            <w:gridSpan w:val="2"/>
            <w:tcBorders>
              <w:left w:val="single" w:sz="4" w:space="0" w:color="auto"/>
            </w:tcBorders>
            <w:shd w:val="clear" w:color="auto" w:fill="auto"/>
          </w:tcPr>
          <w:p w:rsidR="001A3FA6" w:rsidRPr="001C4048" w:rsidRDefault="001A3FA6" w:rsidP="001A3FA6">
            <w:pPr>
              <w:keepNext/>
              <w:spacing w:before="60"/>
              <w:jc w:val="center"/>
              <w:rPr>
                <w:b/>
                <w:vanish/>
                <w:sz w:val="20"/>
              </w:rPr>
            </w:pPr>
          </w:p>
        </w:tc>
      </w:tr>
      <w:tr w:rsidR="001A3FA6" w:rsidRPr="001C4048" w:rsidTr="001A3FA6">
        <w:tblPrEx>
          <w:tblLook w:val="04A0" w:firstRow="1" w:lastRow="0" w:firstColumn="1" w:lastColumn="0" w:noHBand="0" w:noVBand="1"/>
        </w:tblPrEx>
        <w:trPr>
          <w:cantSplit/>
          <w:trHeight w:val="20"/>
          <w:hidden/>
        </w:trPr>
        <w:tc>
          <w:tcPr>
            <w:tcW w:w="2482" w:type="pct"/>
            <w:shd w:val="clear" w:color="auto" w:fill="auto"/>
          </w:tcPr>
          <w:p w:rsidR="001A3FA6" w:rsidRPr="001C4048" w:rsidRDefault="001A3FA6" w:rsidP="001A3FA6">
            <w:pPr>
              <w:suppressLineNumbers/>
              <w:spacing w:after="60"/>
              <w:rPr>
                <w:vanish/>
                <w:sz w:val="20"/>
              </w:rPr>
            </w:pPr>
            <w:r w:rsidRPr="001C4048">
              <w:rPr>
                <w:vanish/>
                <w:sz w:val="20"/>
              </w:rPr>
              <w:t>A rendelet célja, hogy az építési engedélyezési eljárások során lehetővé tegye a gépjármű várakozóhely megváltását és ezzel elősegítse az építési igények teljesítését, a zömében már beépített városrészekben, ahol az épületek megközelítéséhez és használatához szükséges, az országos településrendezési és építési követelményekről szóló 253/1997. (XII. 20.) Korm. rendelet (OTÉK) 42.§-ban előírt számú gépjármű várakozóhely kialakítása telken belül az engedélyezésre benyújtott építészeti megoldástól független műszaki indokok miatt nem kialakítható.</w:t>
            </w:r>
          </w:p>
        </w:tc>
        <w:tc>
          <w:tcPr>
            <w:tcW w:w="2518" w:type="pct"/>
            <w:gridSpan w:val="2"/>
            <w:tcBorders>
              <w:left w:val="single" w:sz="4" w:space="0" w:color="auto"/>
            </w:tcBorders>
            <w:shd w:val="clear" w:color="auto" w:fill="auto"/>
          </w:tcPr>
          <w:p w:rsidR="001A3FA6" w:rsidRPr="004C58A4" w:rsidRDefault="001A3FA6" w:rsidP="004C58A4">
            <w:pPr>
              <w:suppressLineNumbers/>
              <w:spacing w:after="60"/>
              <w:rPr>
                <w:vanish/>
                <w:sz w:val="20"/>
              </w:rPr>
            </w:pPr>
          </w:p>
        </w:tc>
      </w:tr>
      <w:tr w:rsidR="001A3FA6" w:rsidRPr="009B60A2" w:rsidTr="001A3FA6">
        <w:tblPrEx>
          <w:tblLook w:val="04A0" w:firstRow="1" w:lastRow="0" w:firstColumn="1" w:lastColumn="0" w:noHBand="0" w:noVBand="1"/>
        </w:tblPrEx>
        <w:trPr>
          <w:cantSplit/>
          <w:trHeight w:val="20"/>
        </w:trPr>
        <w:tc>
          <w:tcPr>
            <w:tcW w:w="2482" w:type="pct"/>
            <w:tcBorders>
              <w:top w:val="single" w:sz="4" w:space="0" w:color="auto"/>
            </w:tcBorders>
            <w:shd w:val="clear" w:color="auto" w:fill="auto"/>
          </w:tcPr>
          <w:p w:rsidR="001A3FA6" w:rsidRPr="009B60A2" w:rsidRDefault="001A3FA6" w:rsidP="001A3FA6">
            <w:pPr>
              <w:keepNext/>
              <w:suppressLineNumbers/>
              <w:spacing w:before="60"/>
              <w:rPr>
                <w:sz w:val="20"/>
              </w:rPr>
            </w:pPr>
          </w:p>
        </w:tc>
        <w:tc>
          <w:tcPr>
            <w:tcW w:w="2518" w:type="pct"/>
            <w:gridSpan w:val="2"/>
            <w:tcBorders>
              <w:top w:val="single" w:sz="4" w:space="0" w:color="auto"/>
            </w:tcBorders>
            <w:shd w:val="clear" w:color="auto" w:fill="auto"/>
          </w:tcPr>
          <w:p w:rsidR="001A3FA6" w:rsidRPr="009B60A2" w:rsidRDefault="001A3FA6" w:rsidP="001A3FA6">
            <w:pPr>
              <w:keepNext/>
              <w:jc w:val="center"/>
              <w:rPr>
                <w:sz w:val="20"/>
              </w:rPr>
            </w:pPr>
            <w:r w:rsidRPr="009B60A2">
              <w:rPr>
                <w:b/>
                <w:sz w:val="20"/>
              </w:rPr>
              <w:t>1. §</w:t>
            </w:r>
          </w:p>
        </w:tc>
      </w:tr>
      <w:tr w:rsidR="001A3FA6" w:rsidRPr="009B60A2" w:rsidTr="001A3FA6">
        <w:tblPrEx>
          <w:tblLook w:val="04A0" w:firstRow="1" w:lastRow="0" w:firstColumn="1" w:lastColumn="0" w:noHBand="0" w:noVBand="1"/>
        </w:tblPrEx>
        <w:trPr>
          <w:cantSplit/>
          <w:trHeight w:val="20"/>
        </w:trPr>
        <w:tc>
          <w:tcPr>
            <w:tcW w:w="2482" w:type="pct"/>
            <w:shd w:val="clear" w:color="auto" w:fill="auto"/>
          </w:tcPr>
          <w:p w:rsidR="001A3FA6" w:rsidRPr="009B60A2" w:rsidRDefault="001A3FA6" w:rsidP="001A3FA6">
            <w:pPr>
              <w:rPr>
                <w:b/>
                <w:bCs/>
                <w:sz w:val="20"/>
              </w:rPr>
            </w:pPr>
            <w:r w:rsidRPr="009B60A2">
              <w:rPr>
                <w:b/>
                <w:bCs/>
                <w:sz w:val="20"/>
              </w:rPr>
              <w:t>A R. 2. § (2) bekezdés:</w:t>
            </w:r>
          </w:p>
        </w:tc>
        <w:tc>
          <w:tcPr>
            <w:tcW w:w="2518" w:type="pct"/>
            <w:gridSpan w:val="2"/>
            <w:shd w:val="clear" w:color="auto" w:fill="auto"/>
          </w:tcPr>
          <w:p w:rsidR="001A3FA6" w:rsidRPr="009B60A2" w:rsidRDefault="001A3FA6" w:rsidP="002A276D">
            <w:pPr>
              <w:rPr>
                <w:b/>
                <w:sz w:val="20"/>
              </w:rPr>
            </w:pPr>
          </w:p>
        </w:tc>
      </w:tr>
      <w:tr w:rsidR="001A3FA6" w:rsidRPr="009B60A2" w:rsidTr="001A3FA6">
        <w:tblPrEx>
          <w:tblLook w:val="04A0" w:firstRow="1" w:lastRow="0" w:firstColumn="1" w:lastColumn="0" w:noHBand="0" w:noVBand="1"/>
        </w:tblPrEx>
        <w:trPr>
          <w:cantSplit/>
          <w:trHeight w:val="20"/>
          <w:hidden/>
        </w:trPr>
        <w:tc>
          <w:tcPr>
            <w:tcW w:w="2482" w:type="pct"/>
            <w:shd w:val="clear" w:color="auto" w:fill="auto"/>
          </w:tcPr>
          <w:p w:rsidR="001A3FA6" w:rsidRPr="009B60A2" w:rsidRDefault="001A3FA6" w:rsidP="001A3FA6">
            <w:pPr>
              <w:keepNext/>
              <w:suppressLineNumbers/>
              <w:spacing w:before="60"/>
              <w:jc w:val="center"/>
              <w:rPr>
                <w:rFonts w:ascii="Times New Roman félkövér" w:hAnsi="Times New Roman félkövér"/>
                <w:b/>
                <w:vanish/>
                <w:sz w:val="20"/>
              </w:rPr>
            </w:pPr>
            <w:r w:rsidRPr="009B60A2">
              <w:rPr>
                <w:rFonts w:ascii="Times New Roman félkövér" w:hAnsi="Times New Roman félkövér"/>
                <w:b/>
                <w:vanish/>
                <w:sz w:val="20"/>
              </w:rPr>
              <w:t>A rendelet hatálya</w:t>
            </w:r>
          </w:p>
        </w:tc>
        <w:tc>
          <w:tcPr>
            <w:tcW w:w="2518" w:type="pct"/>
            <w:gridSpan w:val="2"/>
            <w:tcBorders>
              <w:left w:val="single" w:sz="4" w:space="0" w:color="auto"/>
            </w:tcBorders>
            <w:shd w:val="clear" w:color="auto" w:fill="auto"/>
          </w:tcPr>
          <w:p w:rsidR="001A3FA6" w:rsidRPr="009B60A2" w:rsidRDefault="001A3FA6" w:rsidP="001A3FA6">
            <w:pPr>
              <w:keepNext/>
              <w:suppressLineNumbers/>
              <w:spacing w:before="60"/>
              <w:jc w:val="center"/>
              <w:rPr>
                <w:rFonts w:ascii="Times New Roman félkövér" w:hAnsi="Times New Roman félkövér"/>
                <w:b/>
                <w:vanish/>
                <w:sz w:val="20"/>
              </w:rPr>
            </w:pPr>
          </w:p>
        </w:tc>
      </w:tr>
      <w:tr w:rsidR="001A3FA6" w:rsidRPr="009B60A2" w:rsidTr="001A3FA6">
        <w:tblPrEx>
          <w:tblLook w:val="04A0" w:firstRow="1" w:lastRow="0" w:firstColumn="1" w:lastColumn="0" w:noHBand="0" w:noVBand="1"/>
        </w:tblPrEx>
        <w:trPr>
          <w:cantSplit/>
          <w:trHeight w:val="20"/>
          <w:hidden/>
        </w:trPr>
        <w:tc>
          <w:tcPr>
            <w:tcW w:w="2482" w:type="pct"/>
            <w:shd w:val="clear" w:color="auto" w:fill="auto"/>
          </w:tcPr>
          <w:p w:rsidR="001A3FA6" w:rsidRPr="009B60A2" w:rsidRDefault="001A3FA6" w:rsidP="001A3FA6">
            <w:pPr>
              <w:keepNext/>
              <w:spacing w:before="60"/>
              <w:jc w:val="center"/>
              <w:rPr>
                <w:b/>
                <w:vanish/>
                <w:sz w:val="20"/>
              </w:rPr>
            </w:pPr>
            <w:r w:rsidRPr="009B60A2">
              <w:rPr>
                <w:b/>
                <w:vanish/>
                <w:sz w:val="20"/>
              </w:rPr>
              <w:t>2. §</w:t>
            </w:r>
          </w:p>
        </w:tc>
        <w:tc>
          <w:tcPr>
            <w:tcW w:w="2518" w:type="pct"/>
            <w:gridSpan w:val="2"/>
            <w:tcBorders>
              <w:left w:val="single" w:sz="4" w:space="0" w:color="auto"/>
            </w:tcBorders>
            <w:shd w:val="clear" w:color="auto" w:fill="auto"/>
          </w:tcPr>
          <w:p w:rsidR="001A3FA6" w:rsidRPr="009B60A2" w:rsidRDefault="001A3FA6" w:rsidP="001A3FA6">
            <w:pPr>
              <w:keepNext/>
              <w:spacing w:before="60"/>
              <w:jc w:val="center"/>
              <w:rPr>
                <w:b/>
                <w:vanish/>
                <w:sz w:val="20"/>
              </w:rPr>
            </w:pPr>
          </w:p>
        </w:tc>
      </w:tr>
      <w:tr w:rsidR="00643645" w:rsidRPr="00643645" w:rsidTr="001A3FA6">
        <w:tblPrEx>
          <w:tblLook w:val="04A0" w:firstRow="1" w:lastRow="0" w:firstColumn="1" w:lastColumn="0" w:noHBand="0" w:noVBand="1"/>
        </w:tblPrEx>
        <w:trPr>
          <w:cantSplit/>
          <w:trHeight w:val="20"/>
          <w:hidden/>
        </w:trPr>
        <w:tc>
          <w:tcPr>
            <w:tcW w:w="2482" w:type="pct"/>
            <w:shd w:val="clear" w:color="auto" w:fill="auto"/>
          </w:tcPr>
          <w:p w:rsidR="00643645" w:rsidRPr="00643645" w:rsidRDefault="00643645" w:rsidP="00643645">
            <w:pPr>
              <w:rPr>
                <w:vanish/>
                <w:sz w:val="20"/>
              </w:rPr>
            </w:pPr>
            <w:r>
              <w:rPr>
                <w:vanish/>
                <w:sz w:val="20"/>
              </w:rPr>
              <w:t>(1) A rendelet hatálya kiterjed:</w:t>
            </w:r>
          </w:p>
        </w:tc>
        <w:tc>
          <w:tcPr>
            <w:tcW w:w="2518" w:type="pct"/>
            <w:gridSpan w:val="2"/>
            <w:tcBorders>
              <w:left w:val="single" w:sz="4" w:space="0" w:color="auto"/>
            </w:tcBorders>
            <w:shd w:val="clear" w:color="auto" w:fill="auto"/>
          </w:tcPr>
          <w:p w:rsidR="00643645" w:rsidRPr="00643645" w:rsidRDefault="00643645" w:rsidP="00643645">
            <w:pPr>
              <w:rPr>
                <w:vanish/>
                <w:sz w:val="20"/>
                <w:highlight w:val="cyan"/>
              </w:rPr>
            </w:pPr>
          </w:p>
        </w:tc>
      </w:tr>
      <w:tr w:rsidR="00643645" w:rsidRPr="00643645" w:rsidTr="001A3FA6">
        <w:tblPrEx>
          <w:tblLook w:val="04A0" w:firstRow="1" w:lastRow="0" w:firstColumn="1" w:lastColumn="0" w:noHBand="0" w:noVBand="1"/>
        </w:tblPrEx>
        <w:trPr>
          <w:cantSplit/>
          <w:trHeight w:val="20"/>
          <w:hidden/>
        </w:trPr>
        <w:tc>
          <w:tcPr>
            <w:tcW w:w="2482" w:type="pct"/>
            <w:shd w:val="clear" w:color="auto" w:fill="auto"/>
          </w:tcPr>
          <w:p w:rsidR="00643645" w:rsidRPr="00643645" w:rsidRDefault="00643645" w:rsidP="00643645">
            <w:pPr>
              <w:rPr>
                <w:vanish/>
                <w:sz w:val="20"/>
              </w:rPr>
            </w:pPr>
            <w:r w:rsidRPr="00643645">
              <w:rPr>
                <w:vanish/>
                <w:sz w:val="20"/>
              </w:rPr>
              <w:t>a) Budapest Főváros II. kerületi Önkormányzat közigazgatási területén belül - a rendelet 1. számú mellékletében meghatározott övezeti felosztás szerint - minden olyan telekre, amelyen a jogszabályban előírt számú gépjármű várakozóhelyének kialakítása telken belül az engedélyezésre benyújtott építészeti megoldástól független műszaki okból nem le</w:t>
            </w:r>
            <w:r>
              <w:rPr>
                <w:vanish/>
                <w:sz w:val="20"/>
              </w:rPr>
              <w:t>hetséges.</w:t>
            </w:r>
          </w:p>
        </w:tc>
        <w:tc>
          <w:tcPr>
            <w:tcW w:w="2518" w:type="pct"/>
            <w:gridSpan w:val="2"/>
            <w:tcBorders>
              <w:left w:val="single" w:sz="4" w:space="0" w:color="auto"/>
            </w:tcBorders>
            <w:shd w:val="clear" w:color="auto" w:fill="auto"/>
          </w:tcPr>
          <w:p w:rsidR="00643645" w:rsidRPr="00643645" w:rsidRDefault="00643645" w:rsidP="00643645">
            <w:pPr>
              <w:rPr>
                <w:vanish/>
                <w:sz w:val="20"/>
                <w:highlight w:val="cyan"/>
              </w:rPr>
            </w:pPr>
          </w:p>
        </w:tc>
      </w:tr>
      <w:tr w:rsidR="00643645" w:rsidRPr="00643645" w:rsidTr="001A3FA6">
        <w:tblPrEx>
          <w:tblLook w:val="04A0" w:firstRow="1" w:lastRow="0" w:firstColumn="1" w:lastColumn="0" w:noHBand="0" w:noVBand="1"/>
        </w:tblPrEx>
        <w:trPr>
          <w:cantSplit/>
          <w:trHeight w:val="20"/>
          <w:hidden/>
        </w:trPr>
        <w:tc>
          <w:tcPr>
            <w:tcW w:w="2482" w:type="pct"/>
            <w:shd w:val="clear" w:color="auto" w:fill="auto"/>
          </w:tcPr>
          <w:p w:rsidR="00643645" w:rsidRPr="00643645" w:rsidRDefault="00643645" w:rsidP="00643645">
            <w:pPr>
              <w:rPr>
                <w:vanish/>
                <w:sz w:val="20"/>
                <w:highlight w:val="cyan"/>
              </w:rPr>
            </w:pPr>
            <w:r w:rsidRPr="00643645">
              <w:rPr>
                <w:vanish/>
                <w:sz w:val="20"/>
              </w:rPr>
              <w:t>b) Minden építtetőre, aki a fenti területen a szükséges várakozóhelyek számának növekedésével járó új épület építésére, meglévő épület átalakítására, bővítésére, valamint rendeltetésének módosítására kér építési, illetve fennmaradási engedélyt, az (1) és (2) bekezdés figyelembe vételével.</w:t>
            </w:r>
          </w:p>
        </w:tc>
        <w:tc>
          <w:tcPr>
            <w:tcW w:w="2518" w:type="pct"/>
            <w:gridSpan w:val="2"/>
            <w:tcBorders>
              <w:left w:val="single" w:sz="4" w:space="0" w:color="auto"/>
            </w:tcBorders>
            <w:shd w:val="clear" w:color="auto" w:fill="auto"/>
          </w:tcPr>
          <w:p w:rsidR="00643645" w:rsidRPr="00643645" w:rsidRDefault="00643645" w:rsidP="00643645">
            <w:pPr>
              <w:rPr>
                <w:vanish/>
                <w:sz w:val="20"/>
                <w:highlight w:val="cyan"/>
              </w:rPr>
            </w:pPr>
          </w:p>
        </w:tc>
      </w:tr>
      <w:tr w:rsidR="001A3FA6" w:rsidRPr="009B60A2" w:rsidTr="001A3FA6">
        <w:tblPrEx>
          <w:tblLook w:val="04A0" w:firstRow="1" w:lastRow="0" w:firstColumn="1" w:lastColumn="0" w:noHBand="0" w:noVBand="1"/>
        </w:tblPrEx>
        <w:trPr>
          <w:cantSplit/>
          <w:trHeight w:val="20"/>
        </w:trPr>
        <w:tc>
          <w:tcPr>
            <w:tcW w:w="2482" w:type="pct"/>
            <w:shd w:val="clear" w:color="auto" w:fill="auto"/>
          </w:tcPr>
          <w:p w:rsidR="001A3FA6" w:rsidRPr="009B60A2" w:rsidRDefault="001A3FA6" w:rsidP="001A3FA6">
            <w:pPr>
              <w:rPr>
                <w:sz w:val="20"/>
              </w:rPr>
            </w:pPr>
            <w:r w:rsidRPr="009B60A2">
              <w:rPr>
                <w:sz w:val="20"/>
              </w:rPr>
              <w:t>(2)</w:t>
            </w:r>
            <w:r w:rsidRPr="009B60A2">
              <w:rPr>
                <w:sz w:val="20"/>
              </w:rPr>
              <w:tab/>
              <w:t>Az (1) bekezdés szerinti műszaki oknak tekintendő:</w:t>
            </w:r>
          </w:p>
        </w:tc>
        <w:tc>
          <w:tcPr>
            <w:tcW w:w="2518" w:type="pct"/>
            <w:gridSpan w:val="2"/>
            <w:tcBorders>
              <w:left w:val="single" w:sz="4" w:space="0" w:color="auto"/>
            </w:tcBorders>
            <w:shd w:val="clear" w:color="auto" w:fill="auto"/>
          </w:tcPr>
          <w:p w:rsidR="00262417" w:rsidRPr="00262417" w:rsidRDefault="00262417" w:rsidP="00262417">
            <w:pPr>
              <w:rPr>
                <w:sz w:val="20"/>
              </w:rPr>
            </w:pPr>
            <w:r w:rsidRPr="00262417">
              <w:rPr>
                <w:sz w:val="20"/>
              </w:rPr>
              <w:t>A gépjármű várakozóhelyek megváltásáról szóló 38/2001. (X. 24.) önkormányzati rendelet 2. § (2) bekezdés a) pontja a következő ac) alponttal egészül ki:</w:t>
            </w:r>
          </w:p>
          <w:p w:rsidR="00262417" w:rsidRDefault="00262417" w:rsidP="00262417">
            <w:pPr>
              <w:rPr>
                <w:i/>
                <w:iCs/>
                <w:sz w:val="20"/>
              </w:rPr>
            </w:pPr>
            <w:r w:rsidRPr="00262417">
              <w:rPr>
                <w:i/>
                <w:iCs/>
                <w:sz w:val="20"/>
              </w:rPr>
              <w:t>[</w:t>
            </w:r>
            <w:r w:rsidRPr="00262417">
              <w:rPr>
                <w:i/>
                <w:iCs/>
                <w:sz w:val="20"/>
                <w:vertAlign w:val="superscript"/>
              </w:rPr>
              <w:t>[1]</w:t>
            </w:r>
            <w:r w:rsidRPr="00262417">
              <w:rPr>
                <w:i/>
                <w:iCs/>
                <w:sz w:val="20"/>
              </w:rPr>
              <w:t xml:space="preserve"> Az (1) bekezdés szerinti műszaki oknak tekintendő:</w:t>
            </w:r>
            <w:r w:rsidRPr="00262417">
              <w:rPr>
                <w:i/>
                <w:iCs/>
                <w:sz w:val="20"/>
              </w:rPr>
              <w:br/>
              <w:t>meglévő épület bővítése esetén,]</w:t>
            </w:r>
          </w:p>
          <w:p w:rsidR="00262417" w:rsidRDefault="00262417" w:rsidP="00262417">
            <w:pPr>
              <w:rPr>
                <w:i/>
                <w:iCs/>
                <w:sz w:val="20"/>
              </w:rPr>
            </w:pPr>
          </w:p>
          <w:p w:rsidR="00262417" w:rsidRPr="00262417" w:rsidRDefault="00262417" w:rsidP="00262417">
            <w:pPr>
              <w:rPr>
                <w:sz w:val="20"/>
              </w:rPr>
            </w:pPr>
            <w:r w:rsidRPr="00262417">
              <w:rPr>
                <w:sz w:val="20"/>
              </w:rPr>
              <w:t>„ac) közfeladatot ellátó oktatási intézmény bővítése érdekében;”</w:t>
            </w:r>
          </w:p>
          <w:p w:rsidR="001A3FA6" w:rsidRPr="009B60A2" w:rsidRDefault="001A3FA6" w:rsidP="001A3FA6">
            <w:pPr>
              <w:rPr>
                <w:sz w:val="20"/>
              </w:rPr>
            </w:pPr>
          </w:p>
        </w:tc>
      </w:tr>
      <w:tr w:rsidR="00832A64" w:rsidRPr="009B60A2" w:rsidTr="001A3FA6">
        <w:tblPrEx>
          <w:tblLook w:val="04A0" w:firstRow="1" w:lastRow="0" w:firstColumn="1" w:lastColumn="0" w:noHBand="0" w:noVBand="1"/>
        </w:tblPrEx>
        <w:trPr>
          <w:cantSplit/>
          <w:trHeight w:val="20"/>
        </w:trPr>
        <w:tc>
          <w:tcPr>
            <w:tcW w:w="2482" w:type="pct"/>
            <w:shd w:val="clear" w:color="auto" w:fill="auto"/>
          </w:tcPr>
          <w:p w:rsidR="00832A64" w:rsidRPr="009B60A2" w:rsidRDefault="00832A64" w:rsidP="00832A64">
            <w:pPr>
              <w:ind w:left="708"/>
              <w:rPr>
                <w:sz w:val="20"/>
              </w:rPr>
            </w:pPr>
            <w:r w:rsidRPr="009B60A2">
              <w:rPr>
                <w:sz w:val="20"/>
              </w:rPr>
              <w:t>a)</w:t>
            </w:r>
            <w:r w:rsidRPr="009B60A2">
              <w:rPr>
                <w:sz w:val="20"/>
              </w:rPr>
              <w:tab/>
              <w:t xml:space="preserve">meglévő épület bővítése esetén, </w:t>
            </w:r>
          </w:p>
          <w:p w:rsidR="00832A64" w:rsidRPr="009B60A2" w:rsidRDefault="00832A64" w:rsidP="00832A64">
            <w:pPr>
              <w:ind w:left="2125" w:hanging="709"/>
              <w:rPr>
                <w:sz w:val="20"/>
              </w:rPr>
            </w:pPr>
            <w:r w:rsidRPr="009B60A2">
              <w:rPr>
                <w:sz w:val="20"/>
              </w:rPr>
              <w:t>aa)</w:t>
            </w:r>
            <w:r w:rsidRPr="009B60A2">
              <w:rPr>
                <w:sz w:val="20"/>
              </w:rPr>
              <w:tab/>
              <w:t>ha a már meglévő épület miatt sem a teleknek, sem az épületnek újabb gépjármű várakozóhely kialakításra különben alkalmas részei a közútról nem közelíthetők meg vagy</w:t>
            </w:r>
          </w:p>
          <w:p w:rsidR="00832A64" w:rsidRPr="009B60A2" w:rsidRDefault="00832A64" w:rsidP="002A276D">
            <w:pPr>
              <w:ind w:left="2125" w:hanging="709"/>
              <w:rPr>
                <w:sz w:val="20"/>
              </w:rPr>
            </w:pPr>
            <w:r w:rsidRPr="009B60A2">
              <w:rPr>
                <w:sz w:val="20"/>
              </w:rPr>
              <w:t>ab)</w:t>
            </w:r>
            <w:r w:rsidRPr="009B60A2">
              <w:rPr>
                <w:sz w:val="20"/>
              </w:rPr>
              <w:tab/>
            </w:r>
            <w:r w:rsidRPr="009B60A2">
              <w:rPr>
                <w:i/>
                <w:sz w:val="20"/>
              </w:rPr>
              <w:t xml:space="preserve">biológiailag értékes faegyed </w:t>
            </w:r>
            <w:r w:rsidRPr="009B60A2">
              <w:rPr>
                <w:sz w:val="20"/>
              </w:rPr>
              <w:t>megvédése</w:t>
            </w:r>
            <w:r w:rsidRPr="009B60A2">
              <w:rPr>
                <w:i/>
                <w:sz w:val="20"/>
              </w:rPr>
              <w:t xml:space="preserve"> </w:t>
            </w:r>
            <w:r w:rsidRPr="009B60A2">
              <w:rPr>
                <w:sz w:val="20"/>
              </w:rPr>
              <w:t>érdekében, ha legfeljebb öt gépjármű várakozóhely megváltása válik szükségessé;</w:t>
            </w:r>
          </w:p>
        </w:tc>
        <w:tc>
          <w:tcPr>
            <w:tcW w:w="2518" w:type="pct"/>
            <w:gridSpan w:val="2"/>
            <w:tcBorders>
              <w:left w:val="single" w:sz="4" w:space="0" w:color="auto"/>
            </w:tcBorders>
            <w:shd w:val="clear" w:color="auto" w:fill="auto"/>
          </w:tcPr>
          <w:p w:rsidR="00832A64" w:rsidRPr="009B60A2" w:rsidRDefault="00832A64" w:rsidP="00832A64">
            <w:pPr>
              <w:ind w:left="2125" w:hanging="709"/>
              <w:rPr>
                <w:sz w:val="20"/>
              </w:rPr>
            </w:pPr>
          </w:p>
        </w:tc>
      </w:tr>
      <w:tr w:rsidR="002A276D" w:rsidRPr="009B60A2" w:rsidTr="001A3FA6">
        <w:tblPrEx>
          <w:tblLook w:val="04A0" w:firstRow="1" w:lastRow="0" w:firstColumn="1" w:lastColumn="0" w:noHBand="0" w:noVBand="1"/>
        </w:tblPrEx>
        <w:trPr>
          <w:cantSplit/>
          <w:trHeight w:val="20"/>
        </w:trPr>
        <w:tc>
          <w:tcPr>
            <w:tcW w:w="2482" w:type="pct"/>
            <w:shd w:val="clear" w:color="auto" w:fill="auto"/>
          </w:tcPr>
          <w:p w:rsidR="002A276D" w:rsidRPr="009B60A2" w:rsidRDefault="002A276D" w:rsidP="002A276D">
            <w:pPr>
              <w:ind w:left="708"/>
              <w:rPr>
                <w:sz w:val="20"/>
              </w:rPr>
            </w:pPr>
          </w:p>
        </w:tc>
        <w:tc>
          <w:tcPr>
            <w:tcW w:w="2518" w:type="pct"/>
            <w:gridSpan w:val="2"/>
            <w:tcBorders>
              <w:left w:val="single" w:sz="4" w:space="0" w:color="auto"/>
            </w:tcBorders>
            <w:shd w:val="clear" w:color="auto" w:fill="auto"/>
          </w:tcPr>
          <w:p w:rsidR="002A276D" w:rsidRPr="009B60A2" w:rsidRDefault="002A276D" w:rsidP="004939B6">
            <w:pPr>
              <w:ind w:left="2125" w:hanging="709"/>
              <w:rPr>
                <w:sz w:val="20"/>
              </w:rPr>
            </w:pPr>
          </w:p>
        </w:tc>
      </w:tr>
      <w:tr w:rsidR="002A276D" w:rsidRPr="009B60A2" w:rsidTr="001A3FA6">
        <w:tblPrEx>
          <w:tblLook w:val="04A0" w:firstRow="1" w:lastRow="0" w:firstColumn="1" w:lastColumn="0" w:noHBand="0" w:noVBand="1"/>
        </w:tblPrEx>
        <w:trPr>
          <w:cantSplit/>
          <w:trHeight w:val="20"/>
        </w:trPr>
        <w:tc>
          <w:tcPr>
            <w:tcW w:w="2482" w:type="pct"/>
            <w:shd w:val="clear" w:color="auto" w:fill="auto"/>
          </w:tcPr>
          <w:p w:rsidR="002A276D" w:rsidRPr="009B60A2" w:rsidRDefault="002A276D" w:rsidP="002A276D">
            <w:pPr>
              <w:ind w:left="1418" w:hanging="709"/>
              <w:rPr>
                <w:sz w:val="20"/>
              </w:rPr>
            </w:pPr>
            <w:r w:rsidRPr="009B60A2">
              <w:rPr>
                <w:sz w:val="20"/>
              </w:rPr>
              <w:t>b)</w:t>
            </w:r>
            <w:r w:rsidRPr="009B60A2">
              <w:rPr>
                <w:sz w:val="20"/>
              </w:rPr>
              <w:tab/>
              <w:t>meglévő épületen belüli területek lakássá, vagy műteremmé való alakításánál (beleértve a tetőtér-beépítéseket), ha a teleknek vagy az épületnek újabb gépjármű várakozóhely kialakításra alkalmas részei nincsenek, vagy azok közútról nem közelíthetők meg;</w:t>
            </w:r>
          </w:p>
        </w:tc>
        <w:tc>
          <w:tcPr>
            <w:tcW w:w="2518" w:type="pct"/>
            <w:gridSpan w:val="2"/>
            <w:tcBorders>
              <w:left w:val="single" w:sz="4" w:space="0" w:color="auto"/>
            </w:tcBorders>
            <w:shd w:val="clear" w:color="auto" w:fill="auto"/>
          </w:tcPr>
          <w:p w:rsidR="002A276D" w:rsidRPr="009B60A2" w:rsidRDefault="002A276D" w:rsidP="002A276D">
            <w:pPr>
              <w:ind w:left="1418" w:hanging="709"/>
              <w:rPr>
                <w:sz w:val="20"/>
              </w:rPr>
            </w:pPr>
          </w:p>
        </w:tc>
      </w:tr>
      <w:tr w:rsidR="002A276D" w:rsidRPr="009B60A2" w:rsidTr="001A3FA6">
        <w:tblPrEx>
          <w:tblLook w:val="04A0" w:firstRow="1" w:lastRow="0" w:firstColumn="1" w:lastColumn="0" w:noHBand="0" w:noVBand="1"/>
        </w:tblPrEx>
        <w:trPr>
          <w:cantSplit/>
          <w:trHeight w:val="20"/>
        </w:trPr>
        <w:tc>
          <w:tcPr>
            <w:tcW w:w="2482" w:type="pct"/>
            <w:shd w:val="clear" w:color="auto" w:fill="auto"/>
          </w:tcPr>
          <w:p w:rsidR="002A276D" w:rsidRPr="009B60A2" w:rsidRDefault="002A276D" w:rsidP="002A276D">
            <w:pPr>
              <w:ind w:left="1418" w:hanging="709"/>
              <w:rPr>
                <w:sz w:val="20"/>
              </w:rPr>
            </w:pPr>
            <w:r w:rsidRPr="009B60A2">
              <w:rPr>
                <w:sz w:val="20"/>
              </w:rPr>
              <w:t>c)</w:t>
            </w:r>
            <w:r w:rsidRPr="009B60A2">
              <w:rPr>
                <w:sz w:val="20"/>
              </w:rPr>
              <w:tab/>
              <w:t>rendeltetés megváltoztatása esetén – a lakássá vagy műteremmé minősítés kivételével – ha legfeljebb két gépjármű várakozóhely kialakítása válik szükségessé, de a teleknek vagy az épületnek gépjármű várakozóhely kialakításra alkalmas részei nincsenek, vagy azok közútról nem közelíthetők meg.</w:t>
            </w:r>
          </w:p>
        </w:tc>
        <w:tc>
          <w:tcPr>
            <w:tcW w:w="2518" w:type="pct"/>
            <w:gridSpan w:val="2"/>
            <w:tcBorders>
              <w:left w:val="single" w:sz="4" w:space="0" w:color="auto"/>
            </w:tcBorders>
            <w:shd w:val="clear" w:color="auto" w:fill="auto"/>
          </w:tcPr>
          <w:p w:rsidR="002A276D" w:rsidRPr="009B60A2" w:rsidRDefault="002A276D" w:rsidP="002A276D">
            <w:pPr>
              <w:ind w:left="1418" w:hanging="709"/>
              <w:rPr>
                <w:sz w:val="20"/>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pacing w:before="60"/>
              <w:jc w:val="center"/>
              <w:rPr>
                <w:b/>
                <w:vanish/>
                <w:sz w:val="20"/>
                <w:highlight w:val="cyan"/>
              </w:rPr>
            </w:pPr>
            <w:r w:rsidRPr="00AD0B6C">
              <w:rPr>
                <w:b/>
                <w:vanish/>
                <w:sz w:val="20"/>
                <w:highlight w:val="cyan"/>
              </w:rPr>
              <w:t>3. §</w:t>
            </w:r>
          </w:p>
        </w:tc>
        <w:tc>
          <w:tcPr>
            <w:tcW w:w="2518" w:type="pct"/>
            <w:gridSpan w:val="2"/>
            <w:tcBorders>
              <w:left w:val="single" w:sz="4" w:space="0" w:color="auto"/>
            </w:tcBorders>
            <w:shd w:val="clear" w:color="auto" w:fill="auto"/>
          </w:tcPr>
          <w:p w:rsidR="002A276D" w:rsidRPr="00AD0B6C" w:rsidRDefault="002A276D" w:rsidP="002A276D">
            <w:pPr>
              <w:keepNext/>
              <w:spacing w:before="60"/>
              <w:jc w:val="center"/>
              <w:rP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Amennyiben a gépjármű várakozóhely engedély nélkül, vagy az engedélyezett tervtől eltérő építés, illetve ezek következtében elrendelt bontás miatt, valamint engedélyezett várakozóhelynek vagy gépkocsi tárolónak hatósági bontási határozat nélkül való megszüntetése miatt hiányzik, és nem is létesíthető a 2. § szerint a jogszabályban előírt számú gépjármű várakozóhely, a fennmaradási engedély megadása esetén a 4.§ (2) bekezdésében meghatározott alapösszeg tízszeresét kell fizetni, az 5. § (1) bekezdés szerinti szerződés hiányában is.</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pacing w:before="60"/>
              <w:jc w:val="center"/>
              <w:rPr>
                <w:b/>
                <w:vanish/>
                <w:sz w:val="20"/>
                <w:highlight w:val="cyan"/>
              </w:rPr>
            </w:pPr>
            <w:r w:rsidRPr="00AD0B6C">
              <w:rPr>
                <w:b/>
                <w:vanish/>
                <w:sz w:val="20"/>
                <w:highlight w:val="cyan"/>
              </w:rPr>
              <w:t>4. §</w:t>
            </w:r>
          </w:p>
        </w:tc>
        <w:tc>
          <w:tcPr>
            <w:tcW w:w="2518" w:type="pct"/>
            <w:gridSpan w:val="2"/>
            <w:tcBorders>
              <w:left w:val="single" w:sz="4" w:space="0" w:color="auto"/>
            </w:tcBorders>
            <w:shd w:val="clear" w:color="auto" w:fill="auto"/>
          </w:tcPr>
          <w:p w:rsidR="002A276D" w:rsidRPr="00AD0B6C" w:rsidRDefault="002A276D" w:rsidP="002A276D">
            <w:pPr>
              <w:keepNext/>
              <w:spacing w:before="60"/>
              <w:jc w:val="center"/>
              <w:rP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(1)</w:t>
            </w:r>
            <w:r w:rsidRPr="00AD0B6C">
              <w:rPr>
                <w:vanish/>
                <w:highlight w:val="cyan"/>
                <w:vertAlign w:val="superscript"/>
              </w:rPr>
              <w:footnoteReference w:id="2"/>
            </w:r>
            <w:r w:rsidRPr="00AD0B6C">
              <w:rPr>
                <w:vanish/>
                <w:sz w:val="20"/>
                <w:highlight w:val="cyan"/>
              </w:rPr>
              <w:tab/>
              <w:t>A rendelet hatálya alá tartozó építési engedélyezési eljárások során építési engedély csak abban az esetben adható ki, ha az építtető a várakozóhely megváltási díj megfizetését igazolja, illetőleg a várakozóhelyek Kerületi Szabályozási Terv(ek)nek megfelelő módon történő pótlására - a Képviselő-testület jóváhagyása alapján - kötelezettséget vállal.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(2)</w:t>
            </w:r>
            <w:r w:rsidRPr="00AD0B6C">
              <w:rPr>
                <w:vanish/>
                <w:sz w:val="20"/>
                <w:highlight w:val="cyan"/>
              </w:rPr>
              <w:tab/>
              <w:t>A megváltás összege az új építményhez, vagy építményrészhez kötelezően előírt, de a telken belül nem biztosított várakozóhelyek számának és az egy várakozóhely kialakításához a rendelet az 1. sz. melléklet szerinti díjövezetekre a 2. számú mellékletében meghatározott megváltási alapdíj szorzataként képzett pénzösszeg.</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(3)</w:t>
            </w:r>
            <w:r w:rsidRPr="00AD0B6C">
              <w:rPr>
                <w:vanish/>
                <w:highlight w:val="cyan"/>
                <w:vertAlign w:val="superscript"/>
              </w:rPr>
              <w:footnoteReference w:id="3"/>
            </w:r>
            <w:r w:rsidRPr="00AD0B6C">
              <w:rPr>
                <w:vanish/>
                <w:sz w:val="20"/>
                <w:highlight w:val="cyan"/>
              </w:rPr>
              <w:tab/>
              <w:t>Amennyiben az építési engedély-köteles beruházás, illetve meglévő építmény rendeltetésének módosítása telken belüli várakozóhelyek, vagy gépkocsi tárolók megszüntetését eredményezi, úgy az építtetőnek ezek helyett - az OTÉK szerinti várakozóhely-szükségleten túlmenően az építési telken a megszűntekkel azonos számú várakozóhelyet kell létesítenie, vagy azokat meg kell váltania, illetőleg a várakozóhelyek Kerületi Szabályozási Terve(ek)nek megfelelő módon történő pótlására - a Képviselő-testület jóváhagyása alapján - kötelezettséget kell vállalnia.”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(4)</w:t>
            </w:r>
            <w:r w:rsidRPr="00AD0B6C">
              <w:rPr>
                <w:vanish/>
                <w:sz w:val="20"/>
                <w:highlight w:val="cyan"/>
              </w:rPr>
              <w:tab/>
              <w:t>A megállapított várakozóhely megváltási alapdíjak összegét a Képviselő-testület évente felülvizsgálhatja és módosíthatja.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r w:rsidRPr="00AD0B6C">
              <w:rPr>
                <w:rFonts w:ascii="Times New Roman félkövér" w:hAnsi="Times New Roman félkövér"/>
                <w:b/>
                <w:vanish/>
                <w:sz w:val="20"/>
                <w:highlight w:val="cyan"/>
              </w:rPr>
              <w:t>A megváltás módja</w:t>
            </w:r>
          </w:p>
        </w:tc>
        <w:tc>
          <w:tcPr>
            <w:tcW w:w="2518" w:type="pct"/>
            <w:gridSpan w:val="2"/>
            <w:tcBorders>
              <w:left w:val="single" w:sz="4" w:space="0" w:color="auto"/>
            </w:tcBorders>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pacing w:before="60"/>
              <w:jc w:val="center"/>
              <w:rPr>
                <w:b/>
                <w:vanish/>
                <w:sz w:val="20"/>
                <w:highlight w:val="cyan"/>
              </w:rPr>
            </w:pPr>
            <w:r w:rsidRPr="00AD0B6C">
              <w:rPr>
                <w:b/>
                <w:vanish/>
                <w:sz w:val="20"/>
                <w:highlight w:val="cyan"/>
              </w:rPr>
              <w:t>5. §</w:t>
            </w:r>
          </w:p>
        </w:tc>
        <w:tc>
          <w:tcPr>
            <w:tcW w:w="2518" w:type="pct"/>
            <w:gridSpan w:val="2"/>
            <w:tcBorders>
              <w:left w:val="single" w:sz="4" w:space="0" w:color="auto"/>
            </w:tcBorders>
            <w:shd w:val="clear" w:color="auto" w:fill="auto"/>
          </w:tcPr>
          <w:p w:rsidR="002A276D" w:rsidRPr="00AD0B6C" w:rsidRDefault="002A276D" w:rsidP="002A276D">
            <w:pPr>
              <w:keepNext/>
              <w:spacing w:before="60"/>
              <w:jc w:val="center"/>
              <w:rP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(1)</w:t>
            </w:r>
            <w:r w:rsidRPr="00AD0B6C">
              <w:rPr>
                <w:vanish/>
                <w:sz w:val="20"/>
                <w:highlight w:val="cyan"/>
              </w:rPr>
              <w:tab/>
              <w:t>Az önkormányzat nevében a polgármester a várakozóhelyek megváltásáról az építtetővel szerződést köt.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(2)</w:t>
            </w:r>
            <w:r w:rsidRPr="00AD0B6C">
              <w:rPr>
                <w:vanish/>
                <w:sz w:val="20"/>
                <w:highlight w:val="cyan"/>
              </w:rPr>
              <w:tab/>
              <w:t>A várakozóhely megváltási összeget a várakozóhely megváltási szerződés megkötését követő 15. napon belül kell az építtetőnek befizetnie az önkormányzat várakozóhely építési alapjába.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(3)</w:t>
            </w:r>
            <w:r w:rsidRPr="00AD0B6C">
              <w:rPr>
                <w:vanish/>
                <w:sz w:val="20"/>
                <w:highlight w:val="cyan"/>
              </w:rPr>
              <w:tab/>
              <w:t>A várakozóhelyek megváltásáról szóló szerződés egy példányát és a befizetés megtörténtének igazolását az építtetőnek az építési engedélyezési tervekhez csatolnia kell.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r w:rsidRPr="00AD0B6C">
              <w:rPr>
                <w:rFonts w:ascii="Times New Roman félkövér" w:hAnsi="Times New Roman félkövér"/>
                <w:b/>
                <w:vanish/>
                <w:sz w:val="20"/>
                <w:highlight w:val="cyan"/>
              </w:rPr>
              <w:t>A megváltási összegek felhasználása</w:t>
            </w:r>
          </w:p>
        </w:tc>
        <w:tc>
          <w:tcPr>
            <w:tcW w:w="2518" w:type="pct"/>
            <w:gridSpan w:val="2"/>
            <w:tcBorders>
              <w:left w:val="single" w:sz="4" w:space="0" w:color="auto"/>
            </w:tcBorders>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pacing w:before="60"/>
              <w:jc w:val="center"/>
              <w:rPr>
                <w:b/>
                <w:vanish/>
                <w:sz w:val="20"/>
                <w:highlight w:val="cyan"/>
              </w:rPr>
            </w:pPr>
            <w:r w:rsidRPr="00AD0B6C">
              <w:rPr>
                <w:b/>
                <w:vanish/>
                <w:sz w:val="20"/>
                <w:highlight w:val="cyan"/>
              </w:rPr>
              <w:t>6. §</w:t>
            </w:r>
          </w:p>
        </w:tc>
        <w:tc>
          <w:tcPr>
            <w:tcW w:w="2518" w:type="pct"/>
            <w:gridSpan w:val="2"/>
            <w:tcBorders>
              <w:left w:val="single" w:sz="4" w:space="0" w:color="auto"/>
            </w:tcBorders>
            <w:shd w:val="clear" w:color="auto" w:fill="auto"/>
          </w:tcPr>
          <w:p w:rsidR="002A276D" w:rsidRPr="00AD0B6C" w:rsidRDefault="002A276D" w:rsidP="002A276D">
            <w:pPr>
              <w:keepNext/>
              <w:spacing w:before="60"/>
              <w:jc w:val="center"/>
              <w:rP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(1)</w:t>
            </w:r>
            <w:r w:rsidRPr="00AD0B6C">
              <w:rPr>
                <w:vanish/>
                <w:sz w:val="20"/>
                <w:highlight w:val="cyan"/>
              </w:rPr>
              <w:tab/>
              <w:t>Az építtetők által befizetett megváltási összegeket az önkormányzat költségvetésében elkülönítetten, a várakozóhely megváltási alapban kezeli, kizárólag várakozóhelyek létesítésére fordíthatja és az összegek felhasználásáról az éves költségvetési beszámolójában tájékoztatja a Képviselő-testületet.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(2)</w:t>
            </w:r>
            <w:r w:rsidRPr="00AD0B6C">
              <w:rPr>
                <w:vanish/>
                <w:sz w:val="20"/>
                <w:highlight w:val="cyan"/>
              </w:rPr>
              <w:tab/>
              <w:t>Amennyiben a parkolási igényű létesítmény rendeltetése a későbbiek során oly módon változik, hogy annak az OTÉK szerinti várakozóhely szükséglete csökken, a befizetett megváltási összeg nem igényelhető vissza.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(3)</w:t>
            </w:r>
            <w:r w:rsidRPr="00AD0B6C">
              <w:rPr>
                <w:vanish/>
                <w:sz w:val="20"/>
                <w:highlight w:val="cyan"/>
              </w:rPr>
              <w:tab/>
              <w:t>Meghiúsult építkezés esetén a megváltásról kötött szerződés hatályát veszti. Az építtető a befizetett összeget, illetve az építési szerződés neki fel nem róható okból való lehetetlenülése esetén annak a mindenkori jegybanki alapkamat időarányos részével növelt összegét a kezelési költség levonásával visszaigényelheti, amelyet az önkormányzat 15 napon belül köteles visszafizetni.</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suppressLineNumbers/>
              <w:spacing w:after="60"/>
              <w:rPr>
                <w:vanish/>
                <w:sz w:val="20"/>
                <w:highlight w:val="cyan"/>
              </w:rPr>
            </w:pPr>
            <w:r w:rsidRPr="00AD0B6C">
              <w:rPr>
                <w:vanish/>
                <w:sz w:val="20"/>
                <w:highlight w:val="cyan"/>
              </w:rPr>
              <w:t>A rendelet célja, hogy az építési engedélyezési eljárások során lehetővé tegye a gépjármű várakozóhely megváltását és ezzel elősegítse az építési igények teljesítését, a zömében már beépített városrészekben, ahol az épületek megközelítéséhez és használatához szükséges, az országos településrendezési és építési követelményekről szóló 253/1997. (XII. 20.) Korm. rendelet (OTÉK) 42.§-ban előírt számú gépjármű várakozóhely kialakítása telken belül az engedélyezésre benyújtott építészeti megoldástól független műszaki indokok miatt nem kialakítható.</w:t>
            </w:r>
          </w:p>
        </w:tc>
        <w:tc>
          <w:tcPr>
            <w:tcW w:w="2518" w:type="pct"/>
            <w:gridSpan w:val="2"/>
            <w:tcBorders>
              <w:left w:val="single" w:sz="4" w:space="0" w:color="auto"/>
            </w:tcBorders>
            <w:shd w:val="clear" w:color="auto" w:fill="auto"/>
          </w:tcPr>
          <w:p w:rsidR="002A276D" w:rsidRPr="004C58A4"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keepNext/>
              <w:suppressLineNumbers/>
              <w:spacing w:before="60"/>
              <w:jc w:val="center"/>
              <w:rPr>
                <w:rFonts w:ascii="Times New Roman félkövér" w:hAnsi="Times New Roman félkövér"/>
                <w:b/>
                <w:vanish/>
                <w:sz w:val="20"/>
                <w:highlight w:val="cyan"/>
              </w:rPr>
            </w:pPr>
            <w:r w:rsidRPr="00643645">
              <w:rPr>
                <w:rFonts w:ascii="Times New Roman félkövér" w:hAnsi="Times New Roman félkövér"/>
                <w:b/>
                <w:vanish/>
                <w:sz w:val="20"/>
                <w:highlight w:val="cyan"/>
              </w:rPr>
              <w:t>Értelmező rendelkezések</w:t>
            </w:r>
          </w:p>
        </w:tc>
        <w:tc>
          <w:tcPr>
            <w:tcW w:w="2518" w:type="pct"/>
            <w:gridSpan w:val="2"/>
            <w:tcBorders>
              <w:left w:val="single" w:sz="4" w:space="0" w:color="auto"/>
            </w:tcBorders>
            <w:shd w:val="clear" w:color="auto" w:fill="auto"/>
          </w:tcPr>
          <w:p w:rsidR="002A276D" w:rsidRPr="00643645" w:rsidRDefault="002A276D" w:rsidP="002A276D">
            <w:pPr>
              <w:keepNext/>
              <w:suppressLineNumbers/>
              <w:spacing w:before="60"/>
              <w:jc w:val="center"/>
              <w:rPr>
                <w:rFonts w:ascii="Times New Roman félkövér" w:hAnsi="Times New Roman félkövér"/>
                <w:b/>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keepNext/>
              <w:spacing w:before="60"/>
              <w:jc w:val="center"/>
              <w:rPr>
                <w:b/>
                <w:vanish/>
                <w:sz w:val="20"/>
                <w:highlight w:val="cyan"/>
              </w:rPr>
            </w:pPr>
            <w:r w:rsidRPr="00643645">
              <w:rPr>
                <w:b/>
                <w:vanish/>
                <w:sz w:val="20"/>
                <w:highlight w:val="cyan"/>
              </w:rPr>
              <w:t>7. §</w:t>
            </w:r>
          </w:p>
        </w:tc>
        <w:tc>
          <w:tcPr>
            <w:tcW w:w="2518" w:type="pct"/>
            <w:gridSpan w:val="2"/>
            <w:tcBorders>
              <w:left w:val="single" w:sz="4" w:space="0" w:color="auto"/>
            </w:tcBorders>
            <w:shd w:val="clear" w:color="auto" w:fill="auto"/>
          </w:tcPr>
          <w:p w:rsidR="002A276D" w:rsidRPr="00643645" w:rsidRDefault="002A276D" w:rsidP="002A276D">
            <w:pPr>
              <w:keepNext/>
              <w:spacing w:before="60"/>
              <w:jc w:val="center"/>
              <w:rPr>
                <w:b/>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E rendelet alkalmazása szempontjából:</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(1)</w:t>
            </w:r>
            <w:r w:rsidRPr="00643645">
              <w:rPr>
                <w:vanish/>
                <w:sz w:val="20"/>
                <w:highlight w:val="cyan"/>
              </w:rPr>
              <w:tab/>
              <w:t>Szükséges várakozóhely száma: az építmények rendeltetésszerű használatához szükséges, de legalább az előírt mennyiségű és fajtájú gépjármű saját telken belüli elhelyezéséhez szükséges, műszaki okból nem biztosítható várakozóhelyek mennyisége.</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(2)</w:t>
            </w:r>
            <w:r w:rsidRPr="00643645">
              <w:rPr>
                <w:vanish/>
                <w:sz w:val="20"/>
                <w:highlight w:val="cyan"/>
              </w:rPr>
              <w:tab/>
              <w:t>A várakozóhely megváltási alapdíj: e rendeletben egy gépjármű elhelyezésének kiváltásához szükséges, a Képviselő-testület által meghatározott pénzösszeg.</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(3)</w:t>
            </w:r>
            <w:r w:rsidRPr="00643645">
              <w:rPr>
                <w:vanish/>
                <w:sz w:val="20"/>
                <w:highlight w:val="cyan"/>
              </w:rPr>
              <w:tab/>
              <w:t>Várakozóhely megváltási díj: a várakozóhely megváltási alapdíj és a szükséges várakozóhely számának szorzataként képzett pénzösszeg.</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(4)</w:t>
            </w:r>
            <w:r w:rsidRPr="00643645">
              <w:rPr>
                <w:vanish/>
                <w:sz w:val="20"/>
                <w:highlight w:val="cyan"/>
              </w:rPr>
              <w:tab/>
              <w:t>Várakozóhely építési alap: a befizetett várakozóhely megváltási díjakból kizárólag várakozóhelyek kiépítésére fordítható, az önkormányzat költségvetésében elkülönítetten kezelt pénzösszeg.</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2A276D" w:rsidRPr="00643645" w:rsidRDefault="002A276D" w:rsidP="002A276D">
            <w:pPr>
              <w:rPr>
                <w:vanish/>
                <w:sz w:val="20"/>
                <w:highlight w:val="cyan"/>
              </w:rPr>
            </w:pPr>
            <w:r w:rsidRPr="00643645">
              <w:rPr>
                <w:vanish/>
                <w:sz w:val="20"/>
                <w:highlight w:val="cyan"/>
              </w:rPr>
              <w:t>(5)</w:t>
            </w:r>
            <w:r w:rsidRPr="00643645">
              <w:rPr>
                <w:vanish/>
                <w:sz w:val="20"/>
                <w:highlight w:val="cyan"/>
              </w:rPr>
              <w:tab/>
              <w:t>Meghiúsult építkezés: az építési tevékenység építtető érdekkörén kívüli okból történő lehetetlenné válása.</w:t>
            </w:r>
          </w:p>
        </w:tc>
        <w:tc>
          <w:tcPr>
            <w:tcW w:w="2518" w:type="pct"/>
            <w:gridSpan w:val="2"/>
            <w:tcBorders>
              <w:left w:val="single" w:sz="4" w:space="0" w:color="auto"/>
            </w:tcBorders>
            <w:shd w:val="clear" w:color="auto" w:fill="auto"/>
          </w:tcPr>
          <w:p w:rsidR="002A276D" w:rsidRPr="00643645" w:rsidRDefault="002A276D" w:rsidP="002A276D">
            <w:pPr>
              <w:rPr>
                <w:vanish/>
                <w:sz w:val="20"/>
                <w:highlight w:val="cyan"/>
              </w:rPr>
            </w:pPr>
          </w:p>
        </w:tc>
      </w:tr>
      <w:tr w:rsidR="002A276D" w:rsidRPr="00643645" w:rsidTr="001A3FA6">
        <w:tblPrEx>
          <w:tblLook w:val="04A0" w:firstRow="1" w:lastRow="0" w:firstColumn="1" w:lastColumn="0" w:noHBand="0" w:noVBand="1"/>
        </w:tblPrEx>
        <w:trPr>
          <w:cantSplit/>
          <w:trHeight w:val="20"/>
          <w:hidden/>
        </w:trPr>
        <w:tc>
          <w:tcPr>
            <w:tcW w:w="2482" w:type="pct"/>
            <w:shd w:val="clear" w:color="auto" w:fill="auto"/>
          </w:tcPr>
          <w:p w:rsidR="00643645" w:rsidRPr="00643645" w:rsidRDefault="00643645" w:rsidP="00643645">
            <w:pPr>
              <w:rPr>
                <w:vanish/>
                <w:sz w:val="20"/>
                <w:highlight w:val="cyan"/>
              </w:rPr>
            </w:pPr>
            <w:r w:rsidRPr="00643645">
              <w:rPr>
                <w:vanish/>
                <w:sz w:val="20"/>
                <w:highlight w:val="cyan"/>
              </w:rPr>
              <w:t>(6)</w:t>
            </w:r>
            <w:r w:rsidRPr="00643645">
              <w:rPr>
                <w:vanish/>
                <w:sz w:val="20"/>
                <w:highlight w:val="cyan"/>
              </w:rPr>
              <w:tab/>
              <w:t xml:space="preserve">Biológiailag értékes faegyed : olyan, </w:t>
            </w:r>
          </w:p>
          <w:p w:rsidR="00643645" w:rsidRPr="00643645" w:rsidRDefault="00643645" w:rsidP="00643645">
            <w:pPr>
              <w:ind w:left="708"/>
              <w:rPr>
                <w:vanish/>
                <w:sz w:val="20"/>
                <w:highlight w:val="cyan"/>
              </w:rPr>
            </w:pPr>
            <w:r w:rsidRPr="00643645">
              <w:rPr>
                <w:vanish/>
                <w:sz w:val="20"/>
                <w:highlight w:val="cyan"/>
              </w:rPr>
              <w:t>a)</w:t>
            </w:r>
            <w:r w:rsidRPr="00643645">
              <w:rPr>
                <w:vanish/>
                <w:sz w:val="20"/>
                <w:highlight w:val="cyan"/>
              </w:rPr>
              <w:tab/>
              <w:t xml:space="preserve">az 1. melléklet szerinti I. díjövezetben található teleken lévő és </w:t>
            </w:r>
          </w:p>
          <w:p w:rsidR="00643645" w:rsidRPr="00643645" w:rsidRDefault="00643645" w:rsidP="00643645">
            <w:pPr>
              <w:ind w:left="708"/>
              <w:rPr>
                <w:vanish/>
                <w:sz w:val="20"/>
                <w:highlight w:val="cyan"/>
              </w:rPr>
            </w:pPr>
            <w:r w:rsidRPr="00643645">
              <w:rPr>
                <w:vanish/>
                <w:sz w:val="20"/>
                <w:highlight w:val="cyan"/>
              </w:rPr>
              <w:t>b)</w:t>
            </w:r>
            <w:r w:rsidRPr="00643645">
              <w:rPr>
                <w:vanish/>
                <w:sz w:val="20"/>
                <w:highlight w:val="cyan"/>
              </w:rPr>
              <w:tab/>
              <w:t xml:space="preserve">az építési helyen belül lévő, 40 cm-nél nagyobb törzsátmérőjű(ek) és </w:t>
            </w:r>
          </w:p>
          <w:p w:rsidR="00643645" w:rsidRPr="00643645" w:rsidRDefault="00643645" w:rsidP="00643645">
            <w:pPr>
              <w:ind w:left="708"/>
              <w:rPr>
                <w:i/>
                <w:vanish/>
                <w:sz w:val="20"/>
                <w:highlight w:val="cyan"/>
              </w:rPr>
            </w:pPr>
            <w:r w:rsidRPr="00643645">
              <w:rPr>
                <w:vanish/>
                <w:sz w:val="20"/>
                <w:highlight w:val="cyan"/>
              </w:rPr>
              <w:t>c)</w:t>
            </w:r>
            <w:r w:rsidRPr="00643645">
              <w:rPr>
                <w:vanish/>
                <w:sz w:val="20"/>
                <w:highlight w:val="cyan"/>
              </w:rPr>
              <w:tab/>
              <w:t xml:space="preserve">nem </w:t>
            </w:r>
            <w:r w:rsidRPr="00643645">
              <w:rPr>
                <w:i/>
                <w:vanish/>
                <w:sz w:val="20"/>
                <w:highlight w:val="cyan"/>
              </w:rPr>
              <w:t xml:space="preserve">inváziós fajú fás szárú növény </w:t>
            </w:r>
            <w:r w:rsidRPr="00643645">
              <w:rPr>
                <w:vanish/>
                <w:sz w:val="20"/>
                <w:highlight w:val="cyan"/>
              </w:rPr>
              <w:t>és</w:t>
            </w:r>
          </w:p>
          <w:p w:rsidR="00643645" w:rsidRPr="00643645" w:rsidRDefault="00643645" w:rsidP="00643645">
            <w:pPr>
              <w:ind w:left="708"/>
              <w:rPr>
                <w:vanish/>
                <w:sz w:val="20"/>
                <w:highlight w:val="cyan"/>
              </w:rPr>
            </w:pPr>
            <w:r w:rsidRPr="00643645">
              <w:rPr>
                <w:vanish/>
                <w:sz w:val="20"/>
                <w:highlight w:val="cyan"/>
              </w:rPr>
              <w:t>d)</w:t>
            </w:r>
            <w:r w:rsidRPr="00643645">
              <w:rPr>
                <w:vanish/>
                <w:sz w:val="20"/>
                <w:highlight w:val="cyan"/>
              </w:rPr>
              <w:tab/>
              <w:t>szakértői véleménnyel igazoltan egészséges</w:t>
            </w:r>
          </w:p>
          <w:p w:rsidR="002A276D" w:rsidRPr="00643645" w:rsidRDefault="00643645" w:rsidP="00643645">
            <w:pPr>
              <w:rPr>
                <w:vanish/>
                <w:sz w:val="20"/>
                <w:highlight w:val="cyan"/>
              </w:rPr>
            </w:pPr>
            <w:r w:rsidRPr="00643645">
              <w:rPr>
                <w:vanish/>
                <w:sz w:val="20"/>
                <w:highlight w:val="cyan"/>
              </w:rPr>
              <w:t>faegyed(ek)</w:t>
            </w:r>
          </w:p>
        </w:tc>
        <w:tc>
          <w:tcPr>
            <w:tcW w:w="2518" w:type="pct"/>
            <w:gridSpan w:val="2"/>
            <w:tcBorders>
              <w:left w:val="single" w:sz="4" w:space="0" w:color="auto"/>
            </w:tcBorders>
            <w:shd w:val="clear" w:color="auto" w:fill="auto"/>
          </w:tcPr>
          <w:p w:rsidR="002A276D" w:rsidRPr="00643645" w:rsidRDefault="002A276D" w:rsidP="002A276D">
            <w:pPr>
              <w:ind w:left="708"/>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r w:rsidRPr="00AD0B6C">
              <w:rPr>
                <w:rFonts w:ascii="Times New Roman félkövér" w:hAnsi="Times New Roman félkövér"/>
                <w:b/>
                <w:vanish/>
                <w:sz w:val="20"/>
                <w:highlight w:val="cyan"/>
              </w:rPr>
              <w:t>Záró rendelkezések</w:t>
            </w:r>
          </w:p>
        </w:tc>
        <w:tc>
          <w:tcPr>
            <w:tcW w:w="2518" w:type="pct"/>
            <w:gridSpan w:val="2"/>
            <w:tcBorders>
              <w:left w:val="single" w:sz="4" w:space="0" w:color="auto"/>
            </w:tcBorders>
            <w:shd w:val="clear" w:color="auto" w:fill="auto"/>
          </w:tcPr>
          <w:p w:rsidR="002A276D" w:rsidRPr="00AD0B6C" w:rsidRDefault="002A276D" w:rsidP="002A276D">
            <w:pPr>
              <w:keepNext/>
              <w:suppressLineNumbers/>
              <w:spacing w:before="60"/>
              <w:jc w:val="center"/>
              <w:rPr>
                <w:rFonts w:ascii="Times New Roman félkövér" w:hAnsi="Times New Roman félkövé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keepNext/>
              <w:spacing w:before="60"/>
              <w:jc w:val="center"/>
              <w:rPr>
                <w:b/>
                <w:vanish/>
                <w:sz w:val="20"/>
                <w:highlight w:val="cyan"/>
              </w:rPr>
            </w:pPr>
            <w:r w:rsidRPr="00AD0B6C">
              <w:rPr>
                <w:b/>
                <w:vanish/>
                <w:sz w:val="20"/>
                <w:highlight w:val="cyan"/>
              </w:rPr>
              <w:t>8. §</w:t>
            </w:r>
          </w:p>
        </w:tc>
        <w:tc>
          <w:tcPr>
            <w:tcW w:w="2518" w:type="pct"/>
            <w:gridSpan w:val="2"/>
            <w:tcBorders>
              <w:left w:val="single" w:sz="4" w:space="0" w:color="auto"/>
            </w:tcBorders>
            <w:shd w:val="clear" w:color="auto" w:fill="auto"/>
          </w:tcPr>
          <w:p w:rsidR="002A276D" w:rsidRPr="00AD0B6C" w:rsidRDefault="002A276D" w:rsidP="002A276D">
            <w:pPr>
              <w:keepNext/>
              <w:spacing w:before="60"/>
              <w:jc w:val="center"/>
              <w:rPr>
                <w:b/>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E rendelet a kihirdetését követő 3. napon lép hatályba, rendelkezéseit a folyamatban lévő építési ügyekben is alkalmazni kell.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suppressLineNumbers/>
              <w:spacing w:after="60"/>
              <w:rPr>
                <w:vanish/>
                <w:sz w:val="20"/>
                <w:highlight w:val="cyan"/>
              </w:rPr>
            </w:pPr>
            <w:r w:rsidRPr="00AD0B6C">
              <w:rPr>
                <w:vanish/>
                <w:sz w:val="20"/>
                <w:highlight w:val="cyan"/>
              </w:rPr>
              <w:t>A rendelet célja, hogy az építési engedélyezési eljárások során lehetővé tegye a gépjármű várakozóhely megváltását és ezzel elősegítse az építési igények teljesítését, a zömében már beépített városrészekben, ahol az épületek megközelítéséhez és használatához szükséges, az országos településrendezési és építési követelményekről szóló 253/1997. (XII. 20.) Korm. rendelet (OTÉK) 42.§-ban előírt számú gépjármű várakozóhely kialakítása telken belül az engedélyezésre benyújtott építészeti megoldástól független műszaki indokok miatt nem kialakítható.</w:t>
            </w:r>
          </w:p>
        </w:tc>
        <w:tc>
          <w:tcPr>
            <w:tcW w:w="2518" w:type="pct"/>
            <w:gridSpan w:val="2"/>
            <w:tcBorders>
              <w:left w:val="single" w:sz="4" w:space="0" w:color="auto"/>
            </w:tcBorders>
            <w:shd w:val="clear" w:color="auto" w:fill="auto"/>
          </w:tcPr>
          <w:p w:rsidR="002A276D" w:rsidRPr="004C58A4" w:rsidRDefault="002A276D" w:rsidP="002A276D">
            <w:pPr>
              <w:rPr>
                <w:vanish/>
                <w:sz w:val="20"/>
                <w:highlight w:val="cyan"/>
              </w:rPr>
            </w:pPr>
          </w:p>
        </w:tc>
      </w:tr>
      <w:tr w:rsidR="002A276D" w:rsidRPr="00725C94" w:rsidTr="001A3FA6">
        <w:tblPrEx>
          <w:tblLook w:val="04A0" w:firstRow="1" w:lastRow="0" w:firstColumn="1" w:lastColumn="0" w:noHBand="0" w:noVBand="1"/>
        </w:tblPrEx>
        <w:trPr>
          <w:cantSplit/>
        </w:trPr>
        <w:tc>
          <w:tcPr>
            <w:tcW w:w="2482" w:type="pct"/>
            <w:tcBorders>
              <w:top w:val="single" w:sz="4" w:space="0" w:color="auto"/>
            </w:tcBorders>
            <w:shd w:val="clear" w:color="auto" w:fill="auto"/>
          </w:tcPr>
          <w:p w:rsidR="002A276D" w:rsidRPr="00725C94" w:rsidRDefault="002A276D" w:rsidP="002A276D">
            <w:pPr>
              <w:keepNext/>
              <w:suppressLineNumbers/>
              <w:spacing w:before="60"/>
              <w:rPr>
                <w:sz w:val="20"/>
              </w:rPr>
            </w:pPr>
          </w:p>
        </w:tc>
        <w:tc>
          <w:tcPr>
            <w:tcW w:w="2518" w:type="pct"/>
            <w:gridSpan w:val="2"/>
            <w:tcBorders>
              <w:top w:val="single" w:sz="4" w:space="0" w:color="auto"/>
            </w:tcBorders>
            <w:shd w:val="clear" w:color="auto" w:fill="auto"/>
          </w:tcPr>
          <w:p w:rsidR="002A276D" w:rsidRDefault="00725C94" w:rsidP="002A276D">
            <w:pPr>
              <w:keepNext/>
              <w:jc w:val="center"/>
              <w:rPr>
                <w:b/>
                <w:sz w:val="20"/>
              </w:rPr>
            </w:pPr>
            <w:r w:rsidRPr="00725C94">
              <w:rPr>
                <w:b/>
                <w:sz w:val="20"/>
              </w:rPr>
              <w:t>2</w:t>
            </w:r>
            <w:r w:rsidR="002A276D" w:rsidRPr="00725C94">
              <w:rPr>
                <w:b/>
                <w:sz w:val="20"/>
              </w:rPr>
              <w:t>. §</w:t>
            </w:r>
          </w:p>
          <w:p w:rsidR="00262417" w:rsidRDefault="00262417" w:rsidP="002A276D">
            <w:pPr>
              <w:keepNext/>
              <w:jc w:val="center"/>
              <w:rPr>
                <w:b/>
                <w:sz w:val="20"/>
              </w:rPr>
            </w:pPr>
          </w:p>
          <w:p w:rsidR="00262417" w:rsidRPr="00262417" w:rsidRDefault="00262417" w:rsidP="00185E5C">
            <w:pPr>
              <w:keepNext/>
              <w:rPr>
                <w:sz w:val="20"/>
              </w:rPr>
            </w:pPr>
            <w:r w:rsidRPr="00262417">
              <w:rPr>
                <w:sz w:val="20"/>
              </w:rPr>
              <w:t>A gépjármű várakozóhelyek megváltásáról szóló 38/2001. (X. 24.) önkormányzati rendelet 2. melléklete helyébe az 1. melléklet lép.</w:t>
            </w:r>
          </w:p>
        </w:tc>
      </w:tr>
      <w:tr w:rsidR="002A276D" w:rsidRPr="00725C94" w:rsidTr="001A3FA6">
        <w:tblPrEx>
          <w:tblLook w:val="04A0" w:firstRow="1" w:lastRow="0" w:firstColumn="1" w:lastColumn="0" w:noHBand="0" w:noVBand="1"/>
        </w:tblPrEx>
        <w:trPr>
          <w:cantSplit/>
        </w:trPr>
        <w:tc>
          <w:tcPr>
            <w:tcW w:w="2482" w:type="pct"/>
            <w:shd w:val="clear" w:color="auto" w:fill="auto"/>
          </w:tcPr>
          <w:p w:rsidR="002A276D" w:rsidRPr="00725C94" w:rsidRDefault="002A276D" w:rsidP="002A276D">
            <w:pPr>
              <w:keepNext/>
              <w:rPr>
                <w:b/>
                <w:bCs/>
                <w:sz w:val="20"/>
              </w:rPr>
            </w:pPr>
          </w:p>
        </w:tc>
        <w:tc>
          <w:tcPr>
            <w:tcW w:w="2518" w:type="pct"/>
            <w:gridSpan w:val="2"/>
            <w:shd w:val="clear" w:color="auto" w:fill="auto"/>
          </w:tcPr>
          <w:p w:rsidR="002A276D" w:rsidRPr="00725C94" w:rsidRDefault="002A276D" w:rsidP="002A276D">
            <w:pPr>
              <w:keepNext/>
              <w:rPr>
                <w:b/>
                <w:sz w:val="20"/>
              </w:rPr>
            </w:pPr>
          </w:p>
        </w:tc>
      </w:tr>
      <w:tr w:rsidR="002A276D" w:rsidRPr="00AD0B6C" w:rsidTr="00185E5C">
        <w:trPr>
          <w:cantSplit/>
          <w:trHeight w:val="285"/>
          <w:hidden/>
        </w:trPr>
        <w:tc>
          <w:tcPr>
            <w:tcW w:w="2482" w:type="pct"/>
            <w:tcBorders>
              <w:bottom w:val="single" w:sz="4" w:space="0" w:color="auto"/>
            </w:tcBorders>
            <w:shd w:val="clear" w:color="auto" w:fill="auto"/>
          </w:tcPr>
          <w:p w:rsidR="002A276D" w:rsidRPr="00725C94" w:rsidRDefault="002A276D" w:rsidP="002A276D">
            <w:pPr>
              <w:suppressLineNumbers/>
              <w:spacing w:after="60"/>
              <w:rPr>
                <w:vanish/>
                <w:sz w:val="20"/>
              </w:rPr>
            </w:pPr>
            <w:r w:rsidRPr="00725C94">
              <w:rPr>
                <w:vanish/>
                <w:sz w:val="20"/>
              </w:rPr>
              <w:t>A rendelet célja, hogy az építési engedélyezési eljárások során lehetővé tegye a gépjármű várakozóhely megváltását és ezzel elősegítse az építési igények teljesítését, a zömében már beépített városrészekben, ahol az épületek megközelítéséhez és használatához szükséges, az országos településrendezési és építési követelményekről szóló 253/1997. (XII. 20.) Korm. rendelet (OTÉK) 42.§-ban előírt számú gépjármű várakozóhely kialakítása telken belül az engedélyezésre benyújtott építészeti megoldástól független műszaki indokok miatt nem kialakítható.</w:t>
            </w:r>
          </w:p>
        </w:tc>
        <w:tc>
          <w:tcPr>
            <w:tcW w:w="2518" w:type="pct"/>
            <w:gridSpan w:val="2"/>
            <w:tcBorders>
              <w:left w:val="single" w:sz="4" w:space="0" w:color="auto"/>
              <w:bottom w:val="single" w:sz="4" w:space="0" w:color="auto"/>
            </w:tcBorders>
            <w:shd w:val="clear" w:color="auto" w:fill="auto"/>
          </w:tcPr>
          <w:p w:rsidR="002A276D" w:rsidRPr="00725C94" w:rsidRDefault="002A276D" w:rsidP="002A276D"/>
        </w:tc>
      </w:tr>
      <w:tr w:rsidR="00262417" w:rsidRPr="00AD0B6C" w:rsidTr="00262417">
        <w:tblPrEx>
          <w:tblLook w:val="04A0" w:firstRow="1" w:lastRow="0" w:firstColumn="1" w:lastColumn="0" w:noHBand="0" w:noVBand="1"/>
        </w:tblPrEx>
        <w:trPr>
          <w:cantSplit/>
          <w:hidden/>
        </w:trPr>
        <w:tc>
          <w:tcPr>
            <w:tcW w:w="2482" w:type="pct"/>
            <w:tcBorders>
              <w:top w:val="single" w:sz="4" w:space="0" w:color="auto"/>
            </w:tcBorders>
            <w:shd w:val="clear" w:color="auto" w:fill="auto"/>
          </w:tcPr>
          <w:p w:rsidR="00262417" w:rsidRPr="00725C94" w:rsidRDefault="00262417" w:rsidP="002A276D">
            <w:pPr>
              <w:suppressLineNumbers/>
              <w:spacing w:after="60"/>
              <w:rPr>
                <w:vanish/>
                <w:sz w:val="20"/>
              </w:rPr>
            </w:pPr>
          </w:p>
        </w:tc>
        <w:tc>
          <w:tcPr>
            <w:tcW w:w="2518" w:type="pct"/>
            <w:gridSpan w:val="2"/>
            <w:tcBorders>
              <w:top w:val="single" w:sz="4" w:space="0" w:color="auto"/>
              <w:left w:val="single" w:sz="4" w:space="0" w:color="auto"/>
            </w:tcBorders>
            <w:shd w:val="clear" w:color="auto" w:fill="auto"/>
          </w:tcPr>
          <w:p w:rsidR="00262417" w:rsidRPr="00725C94" w:rsidRDefault="00262417" w:rsidP="002A276D"/>
        </w:tc>
      </w:tr>
      <w:tr w:rsidR="00262417" w:rsidRPr="00725C94" w:rsidTr="001A3FA6">
        <w:tblPrEx>
          <w:tblLook w:val="04A0" w:firstRow="1" w:lastRow="0" w:firstColumn="1" w:lastColumn="0" w:noHBand="0" w:noVBand="1"/>
        </w:tblPrEx>
        <w:trPr>
          <w:cantSplit/>
        </w:trPr>
        <w:tc>
          <w:tcPr>
            <w:tcW w:w="2482" w:type="pct"/>
            <w:tcBorders>
              <w:top w:val="single" w:sz="2" w:space="0" w:color="auto"/>
            </w:tcBorders>
            <w:shd w:val="clear" w:color="auto" w:fill="auto"/>
          </w:tcPr>
          <w:p w:rsidR="00262417" w:rsidRPr="00725C94" w:rsidRDefault="00262417" w:rsidP="00262417">
            <w:pPr>
              <w:keepNext/>
              <w:spacing w:after="5"/>
              <w:ind w:left="459" w:hanging="11"/>
              <w:rPr>
                <w:sz w:val="20"/>
              </w:rPr>
            </w:pPr>
          </w:p>
        </w:tc>
        <w:tc>
          <w:tcPr>
            <w:tcW w:w="2518" w:type="pct"/>
            <w:gridSpan w:val="2"/>
            <w:tcBorders>
              <w:top w:val="single" w:sz="2" w:space="0" w:color="auto"/>
            </w:tcBorders>
            <w:shd w:val="clear" w:color="auto" w:fill="auto"/>
          </w:tcPr>
          <w:p w:rsidR="00262417" w:rsidRPr="00262417" w:rsidRDefault="00262417" w:rsidP="00262417">
            <w:pPr>
              <w:jc w:val="center"/>
              <w:rPr>
                <w:b/>
                <w:sz w:val="20"/>
              </w:rPr>
            </w:pPr>
            <w:r w:rsidRPr="00185E5C">
              <w:rPr>
                <w:rFonts w:eastAsia="Noto Sans CJK SC Regular" w:cs="FreeSans"/>
                <w:b/>
                <w:bCs/>
                <w:kern w:val="2"/>
                <w:sz w:val="20"/>
                <w:lang w:eastAsia="zh-CN" w:bidi="hi-IN"/>
              </w:rPr>
              <w:t>3. §</w:t>
            </w:r>
          </w:p>
        </w:tc>
      </w:tr>
      <w:tr w:rsidR="00262417" w:rsidRPr="00AD0B6C" w:rsidTr="00262417">
        <w:tblPrEx>
          <w:tblLook w:val="04A0" w:firstRow="1" w:lastRow="0" w:firstColumn="1" w:lastColumn="0" w:noHBand="0" w:noVBand="1"/>
        </w:tblPrEx>
        <w:trPr>
          <w:cantSplit/>
        </w:trPr>
        <w:tc>
          <w:tcPr>
            <w:tcW w:w="2482" w:type="pct"/>
            <w:tcBorders>
              <w:bottom w:val="single" w:sz="4" w:space="0" w:color="auto"/>
            </w:tcBorders>
            <w:shd w:val="clear" w:color="auto" w:fill="auto"/>
          </w:tcPr>
          <w:p w:rsidR="00262417" w:rsidRPr="00725C94" w:rsidRDefault="00262417" w:rsidP="00262417">
            <w:pPr>
              <w:keepNext/>
              <w:spacing w:after="5"/>
              <w:ind w:left="459" w:hanging="11"/>
              <w:rPr>
                <w:sz w:val="20"/>
              </w:rPr>
            </w:pPr>
          </w:p>
        </w:tc>
        <w:tc>
          <w:tcPr>
            <w:tcW w:w="2518" w:type="pct"/>
            <w:gridSpan w:val="2"/>
            <w:tcBorders>
              <w:bottom w:val="single" w:sz="4" w:space="0" w:color="auto"/>
            </w:tcBorders>
            <w:shd w:val="clear" w:color="auto" w:fill="auto"/>
          </w:tcPr>
          <w:p w:rsidR="00262417" w:rsidRDefault="00262417" w:rsidP="00262417">
            <w:pPr>
              <w:rPr>
                <w:rFonts w:eastAsia="Noto Sans CJK SC Regular" w:cs="FreeSans"/>
                <w:kern w:val="2"/>
                <w:sz w:val="20"/>
                <w:lang w:eastAsia="zh-CN" w:bidi="hi-IN"/>
              </w:rPr>
            </w:pPr>
            <w:r w:rsidRPr="00185E5C">
              <w:rPr>
                <w:rFonts w:eastAsia="Noto Sans CJK SC Regular" w:cs="FreeSans"/>
                <w:kern w:val="2"/>
                <w:sz w:val="20"/>
                <w:lang w:eastAsia="zh-CN" w:bidi="hi-IN"/>
              </w:rPr>
              <w:t>Ez a rendelet a kihirdetését követő napon lép hatályba.</w:t>
            </w:r>
          </w:p>
          <w:p w:rsidR="00262417" w:rsidRDefault="00262417" w:rsidP="00262417">
            <w:pPr>
              <w:rPr>
                <w:rFonts w:eastAsia="Noto Sans CJK SC Regular" w:cs="FreeSans"/>
                <w:kern w:val="2"/>
                <w:sz w:val="20"/>
                <w:lang w:eastAsia="zh-CN" w:bidi="hi-IN"/>
              </w:rPr>
            </w:pPr>
          </w:p>
          <w:p w:rsidR="00262417" w:rsidRPr="00262417" w:rsidRDefault="00262417" w:rsidP="00262417">
            <w:pPr>
              <w:rPr>
                <w:sz w:val="20"/>
              </w:rPr>
            </w:pPr>
          </w:p>
        </w:tc>
      </w:tr>
      <w:tr w:rsidR="00262417" w:rsidRPr="00AD0B6C" w:rsidTr="00262417">
        <w:tblPrEx>
          <w:tblLook w:val="04A0" w:firstRow="1" w:lastRow="0" w:firstColumn="1" w:lastColumn="0" w:noHBand="0" w:noVBand="1"/>
        </w:tblPrEx>
        <w:trPr>
          <w:cantSplit/>
        </w:trPr>
        <w:tc>
          <w:tcPr>
            <w:tcW w:w="2482" w:type="pct"/>
            <w:tcBorders>
              <w:top w:val="single" w:sz="4" w:space="0" w:color="auto"/>
            </w:tcBorders>
            <w:shd w:val="clear" w:color="auto" w:fill="auto"/>
          </w:tcPr>
          <w:p w:rsidR="00262417" w:rsidRPr="00725C94" w:rsidRDefault="00262417" w:rsidP="00262417">
            <w:pPr>
              <w:keepNext/>
              <w:spacing w:after="5"/>
              <w:ind w:left="459" w:hanging="11"/>
              <w:rPr>
                <w:sz w:val="20"/>
              </w:rPr>
            </w:pPr>
          </w:p>
        </w:tc>
        <w:tc>
          <w:tcPr>
            <w:tcW w:w="2518" w:type="pct"/>
            <w:gridSpan w:val="2"/>
            <w:tcBorders>
              <w:top w:val="single" w:sz="4" w:space="0" w:color="auto"/>
            </w:tcBorders>
            <w:shd w:val="clear" w:color="auto" w:fill="auto"/>
          </w:tcPr>
          <w:p w:rsidR="00262417" w:rsidRDefault="00262417" w:rsidP="00185E5C">
            <w:pPr>
              <w:jc w:val="center"/>
              <w:rPr>
                <w:rFonts w:eastAsia="Noto Sans CJK SC Regular" w:cs="FreeSans"/>
                <w:b/>
                <w:kern w:val="2"/>
                <w:sz w:val="20"/>
                <w:lang w:eastAsia="zh-CN" w:bidi="hi-IN"/>
              </w:rPr>
            </w:pPr>
            <w:r w:rsidRPr="00185E5C">
              <w:rPr>
                <w:rFonts w:eastAsia="Noto Sans CJK SC Regular" w:cs="FreeSans"/>
                <w:b/>
                <w:kern w:val="2"/>
                <w:sz w:val="20"/>
                <w:lang w:eastAsia="zh-CN" w:bidi="hi-IN"/>
              </w:rPr>
              <w:t xml:space="preserve">4. § </w:t>
            </w:r>
          </w:p>
          <w:p w:rsidR="00262417" w:rsidRPr="00185E5C" w:rsidRDefault="00262417" w:rsidP="00185E5C">
            <w:pPr>
              <w:jc w:val="left"/>
              <w:rPr>
                <w:rFonts w:eastAsia="Noto Sans CJK SC Regular" w:cs="FreeSans"/>
                <w:kern w:val="2"/>
                <w:sz w:val="20"/>
                <w:lang w:eastAsia="zh-CN" w:bidi="hi-IN"/>
              </w:rPr>
            </w:pPr>
            <w:r w:rsidRPr="00185E5C">
              <w:rPr>
                <w:rFonts w:eastAsia="Noto Sans CJK SC Regular" w:cs="FreeSans"/>
                <w:kern w:val="2"/>
                <w:sz w:val="20"/>
                <w:lang w:eastAsia="zh-CN" w:bidi="hi-IN"/>
              </w:rPr>
              <w:t>Jelen rendelet rendelkezéseit a folyamatban lévő építési ügyekben is alkalmazni kell.</w:t>
            </w:r>
          </w:p>
          <w:p w:rsidR="00262417" w:rsidRPr="00185E5C" w:rsidRDefault="00262417" w:rsidP="00185E5C">
            <w:pPr>
              <w:jc w:val="center"/>
              <w:rPr>
                <w:rFonts w:eastAsia="Noto Sans CJK SC Regular" w:cs="FreeSans"/>
                <w:kern w:val="2"/>
                <w:sz w:val="20"/>
                <w:lang w:eastAsia="zh-CN" w:bidi="hi-IN"/>
              </w:rPr>
            </w:pPr>
          </w:p>
          <w:p w:rsidR="00262417" w:rsidRPr="00185E5C" w:rsidRDefault="00262417" w:rsidP="00185E5C">
            <w:pPr>
              <w:jc w:val="center"/>
              <w:rPr>
                <w:rFonts w:eastAsia="Noto Sans CJK SC Regular" w:cs="FreeSans"/>
                <w:b/>
                <w:kern w:val="2"/>
                <w:sz w:val="20"/>
                <w:lang w:eastAsia="zh-CN" w:bidi="hi-I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1. számú melléklet a 38/2001.(X.24.) rendelethez</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várakozóhely területi elhelyezkedése szerinti díjövezetek</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I. díjövezet:</w:t>
            </w:r>
          </w:p>
          <w:p w:rsidR="002A276D" w:rsidRPr="00AD0B6C" w:rsidRDefault="002A276D" w:rsidP="002A276D">
            <w:pPr>
              <w:rPr>
                <w:vanish/>
                <w:sz w:val="20"/>
                <w:highlight w:val="cyan"/>
              </w:rPr>
            </w:pPr>
            <w:r w:rsidRPr="00AD0B6C">
              <w:rPr>
                <w:vanish/>
                <w:sz w:val="20"/>
                <w:highlight w:val="cyan"/>
              </w:rPr>
              <w:t>A Szépvölgyi út - Ürömi utca - Frankel Leó út - Török utca - Margit krt. - Moszkva tér - Szilágyi Erzsébet fasor a Rhédey utcáig (páratlan oldal) - Csalogány utca - Bem rakpart - Árpád fejedelem útja által határolt terület.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II. díjövezet:</w:t>
            </w:r>
          </w:p>
          <w:p w:rsidR="002A276D" w:rsidRPr="00AD0B6C" w:rsidRDefault="002A276D" w:rsidP="002A276D">
            <w:pPr>
              <w:rPr>
                <w:vanish/>
                <w:sz w:val="20"/>
                <w:highlight w:val="cyan"/>
              </w:rPr>
            </w:pPr>
            <w:r w:rsidRPr="00AD0B6C">
              <w:rPr>
                <w:vanish/>
                <w:sz w:val="20"/>
                <w:highlight w:val="cyan"/>
              </w:rPr>
              <w:t>A Gül Baba utca – Apostol utca – Rómer Flóris utca – Zivatar utca – Ady Endre út – Bimbó út - Tulipán utca – Aranka utca - Marczibányi tér – Garas utca - Trombitás utca – Pasaréti út – és az I. díjövezet érintett útjai által határolt terület.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262417">
        <w:tblPrEx>
          <w:tblLook w:val="04A0" w:firstRow="1" w:lastRow="0" w:firstColumn="1" w:lastColumn="0" w:noHBand="0" w:noVBand="1"/>
        </w:tblPrEx>
        <w:trPr>
          <w:cantSplit/>
          <w:trHeight w:val="20"/>
          <w:hidden/>
        </w:trPr>
        <w:tc>
          <w:tcPr>
            <w:tcW w:w="2482" w:type="pct"/>
            <w:tcBorders>
              <w:bottom w:val="single" w:sz="4" w:space="0" w:color="auto"/>
            </w:tcBorders>
            <w:shd w:val="clear" w:color="auto" w:fill="auto"/>
          </w:tcPr>
          <w:p w:rsidR="002A276D" w:rsidRPr="00AD0B6C" w:rsidRDefault="002A276D" w:rsidP="002A276D">
            <w:pPr>
              <w:rPr>
                <w:vanish/>
                <w:sz w:val="20"/>
                <w:highlight w:val="cyan"/>
              </w:rPr>
            </w:pPr>
            <w:r w:rsidRPr="00AD0B6C">
              <w:rPr>
                <w:vanish/>
                <w:sz w:val="20"/>
                <w:highlight w:val="cyan"/>
              </w:rPr>
              <w:t>III. díjövezet:</w:t>
            </w:r>
          </w:p>
          <w:p w:rsidR="002A276D" w:rsidRPr="00AD0B6C" w:rsidRDefault="002A276D" w:rsidP="002A276D">
            <w:pPr>
              <w:rPr>
                <w:vanish/>
                <w:sz w:val="20"/>
                <w:highlight w:val="cyan"/>
              </w:rPr>
            </w:pPr>
            <w:r w:rsidRPr="00AD0B6C">
              <w:rPr>
                <w:vanish/>
                <w:sz w:val="20"/>
                <w:highlight w:val="cyan"/>
              </w:rPr>
              <w:t>Az I. és II. díjövezeten kívül eső területek</w:t>
            </w:r>
          </w:p>
        </w:tc>
        <w:tc>
          <w:tcPr>
            <w:tcW w:w="2518" w:type="pct"/>
            <w:gridSpan w:val="2"/>
            <w:tcBorders>
              <w:left w:val="single" w:sz="4" w:space="0" w:color="auto"/>
              <w:bottom w:val="single" w:sz="4" w:space="0" w:color="auto"/>
            </w:tcBorders>
            <w:shd w:val="clear" w:color="auto" w:fill="auto"/>
          </w:tcPr>
          <w:p w:rsidR="002A276D" w:rsidRPr="00AD0B6C" w:rsidRDefault="002A276D" w:rsidP="002A276D">
            <w:pPr>
              <w:rPr>
                <w:vanish/>
                <w:sz w:val="20"/>
                <w:highlight w:val="cyan"/>
              </w:rPr>
            </w:pPr>
          </w:p>
        </w:tc>
      </w:tr>
      <w:tr w:rsidR="002A276D" w:rsidRPr="00AD0B6C" w:rsidTr="00262417">
        <w:tblPrEx>
          <w:tblLook w:val="04A0" w:firstRow="1" w:lastRow="0" w:firstColumn="1" w:lastColumn="0" w:noHBand="0" w:noVBand="1"/>
        </w:tblPrEx>
        <w:trPr>
          <w:cantSplit/>
          <w:trHeight w:val="20"/>
        </w:trPr>
        <w:tc>
          <w:tcPr>
            <w:tcW w:w="2482" w:type="pct"/>
            <w:tcBorders>
              <w:top w:val="single" w:sz="4" w:space="0" w:color="auto"/>
            </w:tcBorders>
            <w:shd w:val="clear" w:color="auto" w:fill="auto"/>
          </w:tcPr>
          <w:p w:rsidR="002A276D" w:rsidRPr="00AD0B6C" w:rsidRDefault="002A276D" w:rsidP="002A276D">
            <w:pPr>
              <w:rPr>
                <w:sz w:val="20"/>
                <w:highlight w:val="cyan"/>
              </w:rPr>
            </w:pPr>
          </w:p>
        </w:tc>
        <w:tc>
          <w:tcPr>
            <w:tcW w:w="2518" w:type="pct"/>
            <w:gridSpan w:val="2"/>
            <w:tcBorders>
              <w:top w:val="single" w:sz="4" w:space="0" w:color="auto"/>
              <w:left w:val="single" w:sz="4" w:space="0" w:color="auto"/>
            </w:tcBorders>
            <w:shd w:val="clear" w:color="auto" w:fill="auto"/>
          </w:tcPr>
          <w:p w:rsidR="002A276D" w:rsidRPr="00AD0B6C" w:rsidRDefault="002A276D" w:rsidP="002A276D">
            <w:pPr>
              <w:rPr>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2. számú melléklet a 38/2001.(X.24.) rendelethez</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Gépjármű várakozóhelyek érvényes megváltási alapdíjai</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a I-es számú díjövezet:</w:t>
            </w:r>
            <w:r w:rsidRPr="00AD0B6C">
              <w:rPr>
                <w:vanish/>
                <w:sz w:val="20"/>
                <w:highlight w:val="cyan"/>
              </w:rPr>
              <w:tab/>
              <w:t xml:space="preserve">        1.200.000.-Ft + ÁFA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b) a II-es számú díjövezet:</w:t>
            </w:r>
            <w:r w:rsidRPr="00AD0B6C">
              <w:rPr>
                <w:vanish/>
                <w:sz w:val="20"/>
                <w:highlight w:val="cyan"/>
              </w:rPr>
              <w:tab/>
            </w:r>
            <w:r w:rsidRPr="00AD0B6C">
              <w:rPr>
                <w:vanish/>
                <w:sz w:val="20"/>
                <w:highlight w:val="cyan"/>
              </w:rPr>
              <w:tab/>
              <w:t>800.000.-Ft + ÁFA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c) a III-as számú díjövezet:</w:t>
            </w:r>
            <w:r w:rsidRPr="00AD0B6C">
              <w:rPr>
                <w:vanish/>
                <w:sz w:val="20"/>
                <w:highlight w:val="cyan"/>
              </w:rPr>
              <w:tab/>
            </w:r>
            <w:r w:rsidRPr="00AD0B6C">
              <w:rPr>
                <w:vanish/>
                <w:sz w:val="20"/>
                <w:highlight w:val="cyan"/>
              </w:rPr>
              <w:tab/>
              <w:t>700.000.-Ft + ÁFA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INDOKOLÁS</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Budapest Főváros II. Kerületi Önkormányzat Képviselő-testületének 38/2001.(X.24.) a gépjármű várakozóhelyek megváltásáról szóló önkormányzati rendeletéhez.</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ÁLTALÁNOS INDOKOLÁS</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célja, hogy az építési engedélyezési eljárások során lehetővé tegye a gépjármű várakozóhely megváltását és ezzel elősegítse az építési igények teljesítését, a zömében már beépített városrészekben, ahol az épületek megközelítéséhez és használatához szükséges előírt számú gépjármű várakozóhely kialakítása telken belül nem biztosítható.</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egyrészt jogi lehetőség biztosít a várakozóhelyek megváltására, másrészt bevételi forrást biztosít parkolóhelyek létesítésére.</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R É S Z L E T E S  I N D O K O L Á S</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preambuluma pontosan megjelöli a rendeletalkotási felhatalmazást adó jogszabályhelyeket.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1.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céljának megjelölése. Az építési engedélyezési eljárások során lehetőséget kíván biztosítani a gépjármű várakozóhely megváltására, ezzel segítve elő az építési igények teljesítését.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2.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hatályának pontos meghatározása. Fontos garanciális elem, mind a területi, mind a tárgyi, mind pedig az alanyi kört megjelöli.</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3.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Az engedély nélkül, vagy engedélytől eltérően végzett beavatkozások szankcióinak kiegészítése a gépjármű várakozóhely megváltási díja többszörösének befizetési kötelezettségével.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4.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rendelet hatálya alá tartozó építési engedélyezési eljárások során csak abban az esetben adható ki építési engedély, ha az építtető a várakozóhely megváltási díjának megfizetését igazolja.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megváltási díj összegének kiszámítási módja.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Amennyiben az építési engedély-köteles beruházás, illetve rendeletetési mód változás a telken belül már meglévő várakozóhelyeket, illetve gépkocsi tárolókat szűntet meg, úgy az OTÉK szerinti előírt várakozóhely-szükséglet mellet ezek pótlásáról, vagy megváltásáról is gondoskodni kell.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Az alapdíjak összegét a Képviselő-testület fogadja el, így azokat a tapasztalatok függvényében évente felülvizsgálhatja.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5.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megváltás módjáról, a megváltási összeg befizetésének mikéntjéről, illetve arról, hogy a szerződés egy példánya az építési engedélyezési dokumentáció részét kell, hogy képezze.</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6.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befizetett megváltási díjat elkülönítetten kell kezelni, csak várakozóhelyek létesítésére lehet fordítani, illetve a felhasználásról az éves költségvetési beszámolóban tájékoztatni kell a Képviselő-testületet.</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befizetett megváltási díj - az OTÉK esetleges későbbi változása miatt - nem fizethető vissza.</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meghiúsulás esetén szükséges teendők.</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7.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Értelmező rendelkezések.</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8. §</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r w:rsidR="002A276D" w:rsidRPr="00AD0B6C" w:rsidTr="001A3FA6">
        <w:tblPrEx>
          <w:tblLook w:val="04A0" w:firstRow="1" w:lastRow="0" w:firstColumn="1" w:lastColumn="0" w:noHBand="0" w:noVBand="1"/>
        </w:tblPrEx>
        <w:trPr>
          <w:cantSplit/>
          <w:trHeight w:val="20"/>
          <w:hidden/>
        </w:trPr>
        <w:tc>
          <w:tcPr>
            <w:tcW w:w="2482" w:type="pct"/>
            <w:shd w:val="clear" w:color="auto" w:fill="auto"/>
          </w:tcPr>
          <w:p w:rsidR="002A276D" w:rsidRPr="00AD0B6C" w:rsidRDefault="002A276D" w:rsidP="002A276D">
            <w:pPr>
              <w:rPr>
                <w:vanish/>
                <w:sz w:val="20"/>
                <w:highlight w:val="cyan"/>
              </w:rPr>
            </w:pPr>
            <w:r w:rsidRPr="00AD0B6C">
              <w:rPr>
                <w:vanish/>
                <w:sz w:val="20"/>
                <w:highlight w:val="cyan"/>
              </w:rPr>
              <w:t>A záró rendelkezések kimondják, hogy a rendeletet a hatálybalépésekor folyamatban lévő építési ügyekben is alkalmazni kell.</w:t>
            </w:r>
          </w:p>
        </w:tc>
        <w:tc>
          <w:tcPr>
            <w:tcW w:w="2518" w:type="pct"/>
            <w:gridSpan w:val="2"/>
            <w:tcBorders>
              <w:left w:val="single" w:sz="4" w:space="0" w:color="auto"/>
            </w:tcBorders>
            <w:shd w:val="clear" w:color="auto" w:fill="auto"/>
          </w:tcPr>
          <w:p w:rsidR="002A276D" w:rsidRPr="00AD0B6C" w:rsidRDefault="002A276D" w:rsidP="002A276D">
            <w:pPr>
              <w:rPr>
                <w:vanish/>
                <w:sz w:val="20"/>
                <w:highlight w:val="cyan"/>
              </w:rPr>
            </w:pPr>
          </w:p>
        </w:tc>
      </w:tr>
    </w:tbl>
    <w:p w:rsidR="001A3FA6" w:rsidRPr="00AD0B6C" w:rsidRDefault="001A3FA6" w:rsidP="001A3FA6">
      <w:pPr>
        <w:rPr>
          <w:highlight w:val="cyan"/>
        </w:rPr>
      </w:pPr>
    </w:p>
    <w:p w:rsidR="001A3FA6" w:rsidRPr="00AD0B6C" w:rsidRDefault="001A3FA6" w:rsidP="001A3FA6">
      <w:pPr>
        <w:rPr>
          <w:highlight w:val="cyan"/>
        </w:rPr>
      </w:pPr>
    </w:p>
    <w:p w:rsidR="001A3FA6" w:rsidRPr="00AD0B6C" w:rsidRDefault="001A3FA6" w:rsidP="00185E5C">
      <w:pPr>
        <w:pBdr>
          <w:top w:val="single" w:sz="4" w:space="1" w:color="auto"/>
        </w:pBdr>
        <w:rPr>
          <w:highlight w:val="cyan"/>
        </w:rPr>
        <w:sectPr w:rsidR="001A3FA6" w:rsidRPr="00AD0B6C" w:rsidSect="001A3FA6">
          <w:footerReference w:type="default" r:id="rId11"/>
          <w:headerReference w:type="first" r:id="rId12"/>
          <w:footerReference w:type="first" r:id="rId13"/>
          <w:pgSz w:w="16840" w:h="11907" w:orient="landscape"/>
          <w:pgMar w:top="1134" w:right="567" w:bottom="851" w:left="567" w:header="851" w:footer="851" w:gutter="0"/>
          <w:cols w:space="708"/>
          <w:titlePg/>
          <w:docGrid w:linePitch="326"/>
        </w:sectPr>
      </w:pPr>
    </w:p>
    <w:p w:rsidR="001A3FA6" w:rsidRDefault="001A3FA6" w:rsidP="001A3FA6">
      <w:pPr>
        <w:jc w:val="center"/>
        <w:outlineLvl w:val="0"/>
        <w:rPr>
          <w:b/>
        </w:rPr>
      </w:pPr>
      <w:r w:rsidRPr="001C4048">
        <w:rPr>
          <w:b/>
        </w:rPr>
        <w:lastRenderedPageBreak/>
        <w:t>Budapest Főváros II. Kerületi Önkormányzat Képviselő - testület</w:t>
      </w:r>
      <w:r w:rsidR="00C21561">
        <w:rPr>
          <w:b/>
        </w:rPr>
        <w:t>e</w:t>
      </w:r>
      <w:r w:rsidRPr="001C4048">
        <w:rPr>
          <w:b/>
        </w:rPr>
        <w:t xml:space="preserve"> …/202</w:t>
      </w:r>
      <w:r w:rsidR="001C4048" w:rsidRPr="001C4048">
        <w:rPr>
          <w:b/>
        </w:rPr>
        <w:t>1</w:t>
      </w:r>
      <w:r w:rsidRPr="001C4048">
        <w:rPr>
          <w:b/>
        </w:rPr>
        <w:t xml:space="preserve">. (…) önkormányzati rendelete </w:t>
      </w:r>
      <w:r w:rsidRPr="001C4048">
        <w:rPr>
          <w:b/>
        </w:rPr>
        <w:br/>
        <w:t>a gépjármű várakozóhelyek megváltásáról szóló 38/2001.(X.24.) önkormányzati rendelet módosításáról</w:t>
      </w:r>
    </w:p>
    <w:p w:rsidR="00C21561" w:rsidRDefault="00C21561" w:rsidP="001A3FA6">
      <w:pPr>
        <w:jc w:val="center"/>
        <w:outlineLvl w:val="0"/>
        <w:rPr>
          <w:b/>
        </w:rPr>
      </w:pPr>
    </w:p>
    <w:p w:rsidR="00C21561" w:rsidRDefault="00C21561" w:rsidP="00C21561">
      <w:pPr>
        <w:pStyle w:val="Szvegtrzs"/>
        <w:spacing w:before="220" w:after="0"/>
        <w:jc w:val="both"/>
      </w:pPr>
      <w:r>
        <w:t>Budapest Főváros II. Kerületi Önkormányzat Képviselő-testülete – a 27/2021. (I.29.) Korm. rendelettel kihirdetett veszélyhelyzetben a katasztrófavédelemről és a hozzá kapcsolódó egyes törvények módosításáról szóló 2011. évi CXXVIII. törvény 46. § (4) bekezdése szerinti – hatáskörében eljáró Budapest Főváros II. Kerületi Önkormányzat polgármestere Magyarország Alaptörvénye 32. cikk (2) bekezdésében meghatározott eredeti jogalkotói hatáskörében, valamint Magyarország Alaptörvénye 32. cikk (1) bekezdés a) pontjában és a Magyarország helyi önkormányzatairól szóló 2011. évi CLXXXIX. törvény 23. § (5) bekezdés 5. pontjában foglalt feladatkörében eljárva a következőket rendeli el:</w:t>
      </w:r>
    </w:p>
    <w:p w:rsidR="00943412" w:rsidRPr="00943412" w:rsidRDefault="00943412" w:rsidP="00943412">
      <w:pPr>
        <w:keepLines w:val="0"/>
        <w:suppressAutoHyphens w:val="0"/>
        <w:spacing w:before="220"/>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1. §</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A gépjármű várakozóhelyek megváltásáról szóló 38/2001. (X. 24.) önkormányzati rendelet 2. § (2) bekezdés a) pontja a következő ac) alponttal egészül ki:</w:t>
      </w:r>
    </w:p>
    <w:p w:rsidR="00943412" w:rsidRPr="00943412" w:rsidRDefault="00943412" w:rsidP="00943412">
      <w:pPr>
        <w:keepLines w:val="0"/>
        <w:suppressAutoHyphens w:val="0"/>
        <w:jc w:val="left"/>
        <w:rPr>
          <w:rFonts w:eastAsia="Noto Sans CJK SC Regular" w:cs="FreeSans"/>
          <w:i/>
          <w:iCs/>
          <w:kern w:val="2"/>
          <w:szCs w:val="24"/>
          <w:lang w:eastAsia="zh-CN" w:bidi="hi-IN"/>
        </w:rPr>
      </w:pPr>
      <w:r w:rsidRPr="00943412">
        <w:rPr>
          <w:rFonts w:eastAsia="Noto Sans CJK SC Regular" w:cs="FreeSans"/>
          <w:i/>
          <w:iCs/>
          <w:kern w:val="2"/>
          <w:szCs w:val="24"/>
          <w:lang w:eastAsia="zh-CN" w:bidi="hi-IN"/>
        </w:rPr>
        <w:t>[</w:t>
      </w:r>
      <w:r w:rsidRPr="00943412">
        <w:rPr>
          <w:rFonts w:eastAsia="Noto Sans CJK SC Regular" w:cs="FreeSans"/>
          <w:i/>
          <w:iCs/>
          <w:kern w:val="2"/>
          <w:szCs w:val="24"/>
          <w:vertAlign w:val="superscript"/>
          <w:lang w:eastAsia="zh-CN" w:bidi="hi-IN"/>
        </w:rPr>
        <w:t>[1]</w:t>
      </w:r>
      <w:r w:rsidRPr="00943412">
        <w:rPr>
          <w:rFonts w:eastAsia="Noto Sans CJK SC Regular" w:cs="FreeSans"/>
          <w:i/>
          <w:iCs/>
          <w:kern w:val="2"/>
          <w:szCs w:val="24"/>
          <w:lang w:eastAsia="zh-CN" w:bidi="hi-IN"/>
        </w:rPr>
        <w:t xml:space="preserve"> Az (1) bekezdés szerinti műszaki oknak tekintendő:</w:t>
      </w:r>
      <w:r w:rsidRPr="00943412">
        <w:rPr>
          <w:rFonts w:eastAsia="Noto Sans CJK SC Regular" w:cs="FreeSans"/>
          <w:i/>
          <w:iCs/>
          <w:kern w:val="2"/>
          <w:szCs w:val="24"/>
          <w:lang w:eastAsia="zh-CN" w:bidi="hi-IN"/>
        </w:rPr>
        <w:br/>
        <w:t>meglévő épület bővítése esetén,]</w:t>
      </w:r>
    </w:p>
    <w:p w:rsidR="00943412" w:rsidRPr="00943412" w:rsidRDefault="00943412" w:rsidP="00943412">
      <w:pPr>
        <w:keepLines w:val="0"/>
        <w:suppressAutoHyphens w:val="0"/>
        <w:ind w:left="400"/>
        <w:rPr>
          <w:rFonts w:eastAsia="Noto Sans CJK SC Regular" w:cs="FreeSans"/>
          <w:kern w:val="2"/>
          <w:szCs w:val="24"/>
          <w:lang w:eastAsia="zh-CN" w:bidi="hi-IN"/>
        </w:rPr>
      </w:pPr>
      <w:r w:rsidRPr="00943412">
        <w:rPr>
          <w:rFonts w:eastAsia="Noto Sans CJK SC Regular" w:cs="FreeSans"/>
          <w:kern w:val="2"/>
          <w:szCs w:val="24"/>
          <w:lang w:eastAsia="zh-CN" w:bidi="hi-IN"/>
        </w:rPr>
        <w:t>„ac) közfeladatot ellátó oktatási intézmény bővítése érdekében;”</w:t>
      </w:r>
    </w:p>
    <w:p w:rsidR="00943412" w:rsidRPr="00943412" w:rsidRDefault="00943412" w:rsidP="00943412">
      <w:pPr>
        <w:keepLines w:val="0"/>
        <w:suppressAutoHyphens w:val="0"/>
        <w:spacing w:before="220"/>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2. §</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A gépjármű várakozóhelyek megváltásáról szóló 38/2001. (X. 24.) önkormányzati rendelet 2. melléklete helyébe az 1. melléklet lép.</w:t>
      </w:r>
    </w:p>
    <w:p w:rsidR="00943412" w:rsidRPr="00943412" w:rsidRDefault="00943412" w:rsidP="00943412">
      <w:pPr>
        <w:keepLines w:val="0"/>
        <w:suppressAutoHyphens w:val="0"/>
        <w:spacing w:before="220"/>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3. §</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Ez a rendelet a kihirdetését követő napon lép hatályba.</w:t>
      </w:r>
    </w:p>
    <w:p w:rsidR="00943412" w:rsidRPr="00943412" w:rsidRDefault="00943412" w:rsidP="00943412">
      <w:pPr>
        <w:keepLines w:val="0"/>
        <w:suppressAutoHyphens w:val="0"/>
        <w:spacing w:before="220"/>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4. §</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Jelen rendelet rendelkezéseit a folyamatban lévő építési ügyekben is alkalmazni kell.</w:t>
      </w:r>
    </w:p>
    <w:p w:rsidR="00943412" w:rsidRPr="00943412" w:rsidRDefault="00943412" w:rsidP="00943412">
      <w:pPr>
        <w:keepLines w:val="0"/>
        <w:suppressAutoHyphens w:val="0"/>
        <w:spacing w:before="220"/>
        <w:rPr>
          <w:rFonts w:eastAsia="Noto Sans CJK SC Regular" w:cs="FreeSans"/>
          <w:kern w:val="2"/>
          <w:szCs w:val="24"/>
          <w:lang w:eastAsia="zh-CN" w:bidi="hi-IN"/>
        </w:rPr>
      </w:pPr>
    </w:p>
    <w:p w:rsidR="00943412" w:rsidRPr="00943412" w:rsidRDefault="00943412" w:rsidP="00943412">
      <w:pPr>
        <w:keepLines w:val="0"/>
        <w:suppressAutoHyphens w:val="0"/>
        <w:spacing w:before="220"/>
        <w:rPr>
          <w:rFonts w:eastAsia="Noto Sans CJK SC Regular" w:cs="FreeSans"/>
          <w:kern w:val="2"/>
          <w:szCs w:val="24"/>
          <w:lang w:eastAsia="zh-CN" w:bidi="hi-IN"/>
        </w:rPr>
      </w:pPr>
    </w:p>
    <w:tbl>
      <w:tblPr>
        <w:tblW w:w="5000" w:type="pct"/>
        <w:tblCellMar>
          <w:top w:w="28" w:type="dxa"/>
          <w:left w:w="28" w:type="dxa"/>
          <w:bottom w:w="28" w:type="dxa"/>
          <w:right w:w="28" w:type="dxa"/>
        </w:tblCellMar>
        <w:tblLook w:val="0000" w:firstRow="0" w:lastRow="0" w:firstColumn="0" w:lastColumn="0" w:noHBand="0" w:noVBand="0"/>
      </w:tblPr>
      <w:tblGrid>
        <w:gridCol w:w="4819"/>
        <w:gridCol w:w="4819"/>
      </w:tblGrid>
      <w:tr w:rsidR="00943412" w:rsidRPr="00943412" w:rsidTr="00185E5C">
        <w:tc>
          <w:tcPr>
            <w:tcW w:w="4819" w:type="dxa"/>
            <w:shd w:val="clear" w:color="auto" w:fill="auto"/>
          </w:tcPr>
          <w:p w:rsidR="00943412" w:rsidRPr="00943412" w:rsidRDefault="00943412" w:rsidP="00943412">
            <w:pPr>
              <w:keepLines w:val="0"/>
              <w:suppressAutoHyphens w:val="0"/>
              <w:spacing w:after="140"/>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Őrsi Gergely polgármester</w:t>
            </w:r>
          </w:p>
        </w:tc>
        <w:tc>
          <w:tcPr>
            <w:tcW w:w="4819" w:type="dxa"/>
            <w:shd w:val="clear" w:color="auto" w:fill="auto"/>
          </w:tcPr>
          <w:p w:rsidR="00943412" w:rsidRPr="00943412" w:rsidRDefault="00943412" w:rsidP="00943412">
            <w:pPr>
              <w:keepLines w:val="0"/>
              <w:suppressAutoHyphens w:val="0"/>
              <w:spacing w:after="140"/>
              <w:rPr>
                <w:rFonts w:eastAsia="Noto Sans CJK SC Regular" w:cs="FreeSans"/>
                <w:kern w:val="2"/>
                <w:szCs w:val="24"/>
                <w:lang w:eastAsia="zh-CN" w:bidi="hi-IN"/>
              </w:rPr>
            </w:pPr>
            <w:r w:rsidRPr="00943412">
              <w:rPr>
                <w:rFonts w:eastAsia="Noto Sans CJK SC Regular" w:cs="FreeSans"/>
                <w:b/>
                <w:bCs/>
                <w:kern w:val="2"/>
                <w:szCs w:val="24"/>
                <w:lang w:eastAsia="zh-CN" w:bidi="hi-IN"/>
              </w:rPr>
              <w:t>dr. Szalai Tibor jegyző</w:t>
            </w:r>
          </w:p>
        </w:tc>
      </w:tr>
    </w:tbl>
    <w:p w:rsidR="00943412" w:rsidRPr="00943412" w:rsidRDefault="00943412" w:rsidP="00943412">
      <w:pPr>
        <w:keepLines w:val="0"/>
        <w:suppressAutoHyphens w:val="0"/>
        <w:spacing w:after="140"/>
        <w:jc w:val="right"/>
        <w:rPr>
          <w:rFonts w:eastAsia="Noto Sans CJK SC Regular" w:cs="FreeSans"/>
          <w:i/>
          <w:iCs/>
          <w:kern w:val="2"/>
          <w:szCs w:val="24"/>
          <w:u w:val="single"/>
          <w:lang w:eastAsia="zh-CN" w:bidi="hi-IN"/>
        </w:rPr>
      </w:pPr>
      <w:r w:rsidRPr="00943412">
        <w:rPr>
          <w:rFonts w:eastAsia="Noto Sans CJK SC Regular" w:cs="FreeSans"/>
          <w:kern w:val="2"/>
          <w:szCs w:val="24"/>
          <w:lang w:eastAsia="zh-CN" w:bidi="hi-IN"/>
        </w:rPr>
        <w:br w:type="page"/>
      </w:r>
      <w:r w:rsidRPr="00943412">
        <w:rPr>
          <w:rFonts w:eastAsia="Noto Sans CJK SC Regular" w:cs="FreeSans"/>
          <w:i/>
          <w:iCs/>
          <w:kern w:val="2"/>
          <w:szCs w:val="24"/>
          <w:u w:val="single"/>
          <w:lang w:eastAsia="zh-CN" w:bidi="hi-IN"/>
        </w:rPr>
        <w:lastRenderedPageBreak/>
        <w:t>1. melléklet</w:t>
      </w:r>
    </w:p>
    <w:p w:rsidR="00943412" w:rsidRPr="00943412" w:rsidRDefault="00943412" w:rsidP="00943412">
      <w:pPr>
        <w:keepLines w:val="0"/>
        <w:suppressAutoHyphens w:val="0"/>
        <w:spacing w:before="220"/>
        <w:jc w:val="right"/>
        <w:rPr>
          <w:rFonts w:eastAsia="Noto Sans CJK SC Regular" w:cs="FreeSans"/>
          <w:kern w:val="2"/>
          <w:szCs w:val="24"/>
          <w:lang w:eastAsia="zh-CN" w:bidi="hi-IN"/>
        </w:rPr>
      </w:pPr>
      <w:r w:rsidRPr="00943412">
        <w:rPr>
          <w:rFonts w:eastAsia="Noto Sans CJK SC Regular" w:cs="FreeSans"/>
          <w:kern w:val="2"/>
          <w:szCs w:val="24"/>
          <w:lang w:eastAsia="zh-CN" w:bidi="hi-IN"/>
        </w:rPr>
        <w:t>„</w:t>
      </w:r>
      <w:r w:rsidRPr="00943412">
        <w:rPr>
          <w:rFonts w:eastAsia="Noto Sans CJK SC Regular" w:cs="FreeSans"/>
          <w:i/>
          <w:iCs/>
          <w:kern w:val="2"/>
          <w:szCs w:val="24"/>
          <w:lang w:eastAsia="zh-CN" w:bidi="hi-IN"/>
        </w:rPr>
        <w:t>2. melléklet</w:t>
      </w:r>
      <w:r w:rsidRPr="00943412">
        <w:rPr>
          <w:rFonts w:eastAsia="Noto Sans CJK SC Regular" w:cs="FreeSans"/>
          <w:i/>
          <w:iCs/>
          <w:kern w:val="2"/>
          <w:szCs w:val="24"/>
          <w:vertAlign w:val="superscript"/>
          <w:lang w:eastAsia="zh-CN" w:bidi="hi-IN"/>
        </w:rPr>
        <w:t>[1]</w:t>
      </w:r>
    </w:p>
    <w:p w:rsidR="00943412" w:rsidRPr="00943412" w:rsidRDefault="00943412" w:rsidP="00943412">
      <w:pPr>
        <w:keepLines w:val="0"/>
        <w:suppressAutoHyphens w:val="0"/>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Gépjármű várakozóhelyek érvényes megváltási alapdíjai</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a) a I-es számú díjövezet: 1.200.000.-Ft + ÁFA</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b) a II-es számú díjövezet: 800.000.-Ft + ÁFA</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c) a III-as számú díjövezet: 700.000.-Ft + ÁFA</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d) a 2. § (2) bekezdés a) pont ab) alpont esetében: 350.000.-FT+ ÁFA</w:t>
      </w:r>
    </w:p>
    <w:p w:rsidR="00943412" w:rsidRPr="00943412" w:rsidRDefault="00943412" w:rsidP="00943412">
      <w:pPr>
        <w:keepLines w:val="0"/>
        <w:suppressAutoHyphens w:val="0"/>
        <w:spacing w:before="220"/>
        <w:rPr>
          <w:rFonts w:eastAsia="Noto Sans CJK SC Regular" w:cs="FreeSans"/>
          <w:kern w:val="2"/>
          <w:szCs w:val="24"/>
          <w:lang w:eastAsia="zh-CN" w:bidi="hi-IN"/>
        </w:rPr>
      </w:pPr>
      <w:r w:rsidRPr="00943412">
        <w:rPr>
          <w:rFonts w:eastAsia="Noto Sans CJK SC Regular" w:cs="FreeSans"/>
          <w:kern w:val="2"/>
          <w:szCs w:val="24"/>
          <w:lang w:eastAsia="zh-CN" w:bidi="hi-IN"/>
        </w:rPr>
        <w:t xml:space="preserve">e) </w:t>
      </w:r>
      <w:r w:rsidRPr="00943412">
        <w:rPr>
          <w:rFonts w:eastAsia="Noto Sans CJK SC Regular" w:cs="FreeSans"/>
          <w:b/>
          <w:bCs/>
          <w:kern w:val="2"/>
          <w:szCs w:val="24"/>
          <w:lang w:eastAsia="zh-CN" w:bidi="hi-IN"/>
        </w:rPr>
        <w:t>a 2. § (2) bekezdés a) pont ac) alpont esetében: 150.000.-FT+ ÁFA</w:t>
      </w:r>
    </w:p>
    <w:p w:rsidR="00943412" w:rsidRPr="00943412" w:rsidRDefault="00943412" w:rsidP="00943412">
      <w:pPr>
        <w:keepLines w:val="0"/>
        <w:suppressAutoHyphens w:val="0"/>
        <w:spacing w:before="220"/>
        <w:rPr>
          <w:rFonts w:eastAsia="Noto Sans CJK SC Regular" w:cs="FreeSans"/>
          <w:kern w:val="2"/>
          <w:szCs w:val="24"/>
          <w:lang w:eastAsia="zh-CN" w:bidi="hi-IN"/>
        </w:rPr>
        <w:sectPr w:rsidR="00943412" w:rsidRPr="00943412">
          <w:footerReference w:type="default" r:id="rId14"/>
          <w:pgSz w:w="11906" w:h="16838"/>
          <w:pgMar w:top="1134" w:right="1134" w:bottom="1693" w:left="1134" w:header="0" w:footer="1134" w:gutter="0"/>
          <w:cols w:space="708"/>
          <w:formProt w:val="0"/>
          <w:docGrid w:linePitch="600" w:charSpace="32768"/>
        </w:sectPr>
      </w:pPr>
      <w:r w:rsidRPr="00943412">
        <w:rPr>
          <w:rFonts w:eastAsia="Noto Sans CJK SC Regular" w:cs="FreeSans"/>
          <w:kern w:val="2"/>
          <w:szCs w:val="24"/>
          <w:vertAlign w:val="superscript"/>
          <w:lang w:eastAsia="zh-CN" w:bidi="hi-IN"/>
        </w:rPr>
        <w:t xml:space="preserve">[1] </w:t>
      </w:r>
      <w:r w:rsidRPr="00943412">
        <w:rPr>
          <w:rFonts w:eastAsia="Noto Sans CJK SC Regular" w:cs="FreeSans"/>
          <w:kern w:val="2"/>
          <w:szCs w:val="24"/>
          <w:lang w:eastAsia="zh-CN" w:bidi="hi-IN"/>
        </w:rPr>
        <w:t>Módosította a 26/2020. (VI.26.) önkormányzati rendelet. Hatályos: 2020.06.27. napjától”</w:t>
      </w:r>
    </w:p>
    <w:p w:rsidR="00943412" w:rsidRDefault="00943412" w:rsidP="00943412">
      <w:pPr>
        <w:keepLines w:val="0"/>
        <w:suppressAutoHyphens w:val="0"/>
        <w:spacing w:line="288" w:lineRule="auto"/>
        <w:jc w:val="center"/>
        <w:rPr>
          <w:rFonts w:eastAsia="Noto Sans CJK SC Regular" w:cs="FreeSans"/>
          <w:kern w:val="2"/>
          <w:szCs w:val="24"/>
          <w:lang w:eastAsia="zh-CN" w:bidi="hi-IN"/>
        </w:rPr>
      </w:pPr>
      <w:r>
        <w:rPr>
          <w:rFonts w:eastAsia="Noto Sans CJK SC Regular" w:cs="FreeSans"/>
          <w:kern w:val="2"/>
          <w:szCs w:val="24"/>
          <w:lang w:eastAsia="zh-CN" w:bidi="hi-IN"/>
        </w:rPr>
        <w:lastRenderedPageBreak/>
        <w:t>Általános indokolás</w:t>
      </w:r>
    </w:p>
    <w:p w:rsidR="00943412" w:rsidRDefault="00943412" w:rsidP="00943412">
      <w:pPr>
        <w:keepLines w:val="0"/>
        <w:suppressAutoHyphens w:val="0"/>
        <w:spacing w:line="288" w:lineRule="auto"/>
        <w:jc w:val="center"/>
        <w:rPr>
          <w:rFonts w:eastAsia="Noto Sans CJK SC Regular" w:cs="FreeSans"/>
          <w:kern w:val="2"/>
          <w:szCs w:val="24"/>
          <w:lang w:eastAsia="zh-CN" w:bidi="hi-IN"/>
        </w:rPr>
      </w:pPr>
    </w:p>
    <w:p w:rsidR="00943412" w:rsidRPr="00943412" w:rsidRDefault="00943412" w:rsidP="00185E5C">
      <w:pPr>
        <w:keepNext/>
        <w:widowControl w:val="0"/>
        <w:outlineLvl w:val="0"/>
        <w:rPr>
          <w:rFonts w:eastAsia="Noto Sans CJK SC Regular" w:cs="FreeSans"/>
          <w:kern w:val="2"/>
          <w:szCs w:val="24"/>
          <w:lang w:eastAsia="zh-CN" w:bidi="hi-IN"/>
        </w:rPr>
      </w:pPr>
      <w:r w:rsidRPr="001A3FA6">
        <w:t xml:space="preserve">Budapest Főváros II. Kerületi Önkormányzat Képviselő-testületének a gépjármű várakozóhelyek megváltásáról szóló 38/2001.(X.24.) önkormányzati rendeletének pontosítása vált szükségessé a kerület </w:t>
      </w:r>
      <w:r>
        <w:t>intézmény-fejlesztés (oktatási intézmény kiemelt beruházás keretében történő bővítése)</w:t>
      </w:r>
      <w:r w:rsidRPr="001A3FA6">
        <w:t xml:space="preserve"> érdekében.</w:t>
      </w:r>
    </w:p>
    <w:p w:rsidR="00943412" w:rsidRPr="00943412" w:rsidRDefault="00943412" w:rsidP="00943412">
      <w:pPr>
        <w:keepLines w:val="0"/>
        <w:suppressAutoHyphens w:val="0"/>
        <w:spacing w:before="476" w:after="159"/>
        <w:ind w:left="159" w:right="159"/>
        <w:jc w:val="center"/>
        <w:rPr>
          <w:rFonts w:eastAsia="Noto Sans CJK SC Regular" w:cs="FreeSans"/>
          <w:kern w:val="2"/>
          <w:szCs w:val="24"/>
          <w:lang w:eastAsia="zh-CN" w:bidi="hi-IN"/>
        </w:rPr>
      </w:pPr>
      <w:r w:rsidRPr="00943412">
        <w:rPr>
          <w:rFonts w:eastAsia="Noto Sans CJK SC Regular" w:cs="FreeSans"/>
          <w:kern w:val="2"/>
          <w:szCs w:val="24"/>
          <w:lang w:eastAsia="zh-CN" w:bidi="hi-IN"/>
        </w:rPr>
        <w:t>Részletes indokolás</w:t>
      </w:r>
    </w:p>
    <w:p w:rsidR="00943412" w:rsidRPr="00943412" w:rsidRDefault="00943412" w:rsidP="00943412">
      <w:pPr>
        <w:keepLines w:val="0"/>
        <w:suppressAutoHyphens w:val="0"/>
        <w:spacing w:before="159" w:after="79"/>
        <w:ind w:left="159" w:right="159"/>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 xml:space="preserve">1. § </w:t>
      </w:r>
    </w:p>
    <w:p w:rsidR="00943412" w:rsidRPr="00943412" w:rsidRDefault="00943412" w:rsidP="00943412">
      <w:pPr>
        <w:keepLines w:val="0"/>
        <w:suppressAutoHyphens w:val="0"/>
        <w:ind w:left="159"/>
        <w:rPr>
          <w:rFonts w:eastAsia="Noto Sans CJK SC Regular" w:cs="FreeSans"/>
          <w:kern w:val="2"/>
          <w:szCs w:val="24"/>
          <w:lang w:eastAsia="zh-CN" w:bidi="hi-IN"/>
        </w:rPr>
      </w:pPr>
      <w:r w:rsidRPr="00943412">
        <w:rPr>
          <w:rFonts w:eastAsia="Noto Sans CJK SC Regular" w:cs="FreeSans"/>
          <w:kern w:val="2"/>
          <w:szCs w:val="24"/>
          <w:lang w:eastAsia="zh-CN" w:bidi="hi-IN"/>
        </w:rPr>
        <w:t>Pontosításra kerül a műszaki szükségességi feltétel.</w:t>
      </w:r>
    </w:p>
    <w:p w:rsidR="00943412" w:rsidRPr="00943412" w:rsidRDefault="00943412" w:rsidP="00943412">
      <w:pPr>
        <w:keepLines w:val="0"/>
        <w:suppressAutoHyphens w:val="0"/>
        <w:spacing w:before="159" w:after="79"/>
        <w:ind w:left="159" w:right="159"/>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 xml:space="preserve">2. § </w:t>
      </w:r>
    </w:p>
    <w:p w:rsidR="00943412" w:rsidRPr="00943412" w:rsidRDefault="00943412" w:rsidP="00943412">
      <w:pPr>
        <w:keepLines w:val="0"/>
        <w:suppressAutoHyphens w:val="0"/>
        <w:ind w:left="159"/>
        <w:rPr>
          <w:rFonts w:eastAsia="Noto Sans CJK SC Regular" w:cs="FreeSans"/>
          <w:kern w:val="2"/>
          <w:szCs w:val="24"/>
          <w:lang w:eastAsia="zh-CN" w:bidi="hi-IN"/>
        </w:rPr>
      </w:pPr>
      <w:r w:rsidRPr="00943412">
        <w:rPr>
          <w:rFonts w:eastAsia="Noto Sans CJK SC Regular" w:cs="FreeSans"/>
          <w:kern w:val="2"/>
          <w:szCs w:val="24"/>
          <w:lang w:eastAsia="zh-CN" w:bidi="hi-IN"/>
        </w:rPr>
        <w:t>Pontosításra kerül az alaprendelet 2. melléklete.</w:t>
      </w:r>
    </w:p>
    <w:p w:rsidR="00943412" w:rsidRPr="00943412" w:rsidRDefault="00943412" w:rsidP="00943412">
      <w:pPr>
        <w:keepLines w:val="0"/>
        <w:suppressAutoHyphens w:val="0"/>
        <w:spacing w:before="159" w:after="79"/>
        <w:ind w:left="159" w:right="159"/>
        <w:jc w:val="center"/>
        <w:rPr>
          <w:rFonts w:eastAsia="Noto Sans CJK SC Regular" w:cs="FreeSans"/>
          <w:b/>
          <w:bCs/>
          <w:kern w:val="2"/>
          <w:szCs w:val="24"/>
          <w:lang w:eastAsia="zh-CN" w:bidi="hi-IN"/>
        </w:rPr>
      </w:pPr>
      <w:r w:rsidRPr="00943412">
        <w:rPr>
          <w:rFonts w:eastAsia="Noto Sans CJK SC Regular" w:cs="FreeSans"/>
          <w:b/>
          <w:bCs/>
          <w:kern w:val="2"/>
          <w:szCs w:val="24"/>
          <w:lang w:eastAsia="zh-CN" w:bidi="hi-IN"/>
        </w:rPr>
        <w:t xml:space="preserve">3. § </w:t>
      </w:r>
    </w:p>
    <w:p w:rsidR="00943412" w:rsidRPr="00943412" w:rsidRDefault="00943412" w:rsidP="00943412">
      <w:pPr>
        <w:keepLines w:val="0"/>
        <w:suppressAutoHyphens w:val="0"/>
        <w:ind w:left="159"/>
        <w:rPr>
          <w:rFonts w:eastAsia="Noto Sans CJK SC Regular" w:cs="FreeSans"/>
          <w:kern w:val="2"/>
          <w:szCs w:val="24"/>
          <w:lang w:eastAsia="zh-CN" w:bidi="hi-IN"/>
        </w:rPr>
      </w:pPr>
      <w:r w:rsidRPr="00943412">
        <w:rPr>
          <w:rFonts w:eastAsia="Noto Sans CJK SC Regular" w:cs="FreeSans"/>
          <w:kern w:val="2"/>
          <w:szCs w:val="24"/>
          <w:lang w:eastAsia="zh-CN" w:bidi="hi-IN"/>
        </w:rPr>
        <w:t>A rendelet hatályba lépésének időpontját megjelöli.</w:t>
      </w:r>
    </w:p>
    <w:p w:rsidR="007B72DD" w:rsidRPr="00E467CB" w:rsidRDefault="007B72DD" w:rsidP="00185E5C">
      <w:pPr>
        <w:keepNext/>
        <w:keepLines w:val="0"/>
        <w:suppressAutoHyphens w:val="0"/>
        <w:spacing w:before="240"/>
        <w:rPr>
          <w:rFonts w:eastAsia="Arial Unicode MS"/>
          <w:szCs w:val="24"/>
        </w:rPr>
      </w:pPr>
    </w:p>
    <w:sectPr w:rsidR="007B72DD" w:rsidRPr="00E467CB" w:rsidSect="007B72DD">
      <w:footerReference w:type="default" r:id="rId15"/>
      <w:headerReference w:type="first" r:id="rId16"/>
      <w:footnotePr>
        <w:pos w:val="beneathText"/>
      </w:footnotePr>
      <w:pgSz w:w="11905" w:h="16837"/>
      <w:pgMar w:top="1134"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5E" w:rsidRDefault="00B4045E">
      <w:r>
        <w:separator/>
      </w:r>
    </w:p>
  </w:endnote>
  <w:endnote w:type="continuationSeparator" w:id="0">
    <w:p w:rsidR="00B4045E" w:rsidRDefault="00B4045E">
      <w:r>
        <w:continuationSeparator/>
      </w:r>
    </w:p>
  </w:endnote>
  <w:endnote w:type="continuationNotice" w:id="1">
    <w:p w:rsidR="00B4045E" w:rsidRDefault="00B40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PS-BoldM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félkövér">
    <w:panose1 w:val="02020803070505020304"/>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Default="001A3FA6" w:rsidP="001A3FA6">
    <w:pPr>
      <w:pStyle w:val="llb"/>
      <w:jc w:val="center"/>
    </w:pPr>
    <w:r>
      <w:fldChar w:fldCharType="begin"/>
    </w:r>
    <w:r>
      <w:instrText>PAGE   \* MERGEFORMAT</w:instrText>
    </w:r>
    <w:r>
      <w:fldChar w:fldCharType="separate"/>
    </w:r>
    <w:r w:rsidR="00185E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Default="001A3FA6" w:rsidP="001A3FA6">
    <w:pPr>
      <w:pStyle w:val="llb"/>
      <w:jc w:val="center"/>
    </w:pPr>
    <w:r>
      <w:fldChar w:fldCharType="begin"/>
    </w:r>
    <w:r>
      <w:instrText>PAGE   \* MERGEFORMAT</w:instrText>
    </w:r>
    <w:r>
      <w:fldChar w:fldCharType="separate"/>
    </w:r>
    <w:r w:rsidR="00185E5C" w:rsidRPr="00185E5C">
      <w:rPr>
        <w:noProof/>
        <w:lang w:val="hu-HU"/>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Default="001A3FA6" w:rsidP="001A3FA6">
    <w:pPr>
      <w:pStyle w:val="llb"/>
      <w:jc w:val="center"/>
    </w:pPr>
    <w:r>
      <w:fldChar w:fldCharType="begin"/>
    </w:r>
    <w:r>
      <w:instrText>PAGE   \* MERGEFORMAT</w:instrText>
    </w:r>
    <w:r>
      <w:fldChar w:fldCharType="separate"/>
    </w:r>
    <w:r w:rsidR="00185E5C" w:rsidRPr="00185E5C">
      <w:rPr>
        <w:noProof/>
        <w:lang w:val="hu-HU"/>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12" w:rsidRDefault="00943412">
    <w:pPr>
      <w:pStyle w:val="llb"/>
      <w:jc w:val="center"/>
    </w:pPr>
    <w:r>
      <w:fldChar w:fldCharType="begin"/>
    </w:r>
    <w:r>
      <w:instrText>PAGE</w:instrText>
    </w:r>
    <w:r>
      <w:fldChar w:fldCharType="separate"/>
    </w:r>
    <w:r w:rsidR="00185E5C">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58881"/>
      <w:docPartObj>
        <w:docPartGallery w:val="Page Numbers (Bottom of Page)"/>
        <w:docPartUnique/>
      </w:docPartObj>
    </w:sdtPr>
    <w:sdtEndPr/>
    <w:sdtContent>
      <w:sdt>
        <w:sdtPr>
          <w:id w:val="-1865809218"/>
          <w:docPartObj>
            <w:docPartGallery w:val="Page Numbers (Top of Page)"/>
            <w:docPartUnique/>
          </w:docPartObj>
        </w:sdtPr>
        <w:sdtEndPr/>
        <w:sdtContent>
          <w:p w:rsidR="001A3FA6" w:rsidRDefault="00B4045E" w:rsidP="00382EEC">
            <w:pPr>
              <w:pStyle w:val="llb"/>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5E" w:rsidRDefault="00B4045E">
      <w:r>
        <w:separator/>
      </w:r>
    </w:p>
  </w:footnote>
  <w:footnote w:type="continuationSeparator" w:id="0">
    <w:p w:rsidR="00B4045E" w:rsidRDefault="00B4045E">
      <w:r>
        <w:continuationSeparator/>
      </w:r>
    </w:p>
  </w:footnote>
  <w:footnote w:type="continuationNotice" w:id="1">
    <w:p w:rsidR="00B4045E" w:rsidRDefault="00B4045E"/>
  </w:footnote>
  <w:footnote w:id="2">
    <w:p w:rsidR="002A276D" w:rsidRDefault="002A276D" w:rsidP="001A3FA6">
      <w:pPr>
        <w:pStyle w:val="Lbjegyzetszveg"/>
      </w:pPr>
      <w:r>
        <w:rPr>
          <w:rStyle w:val="Lbjegyzet-hivatkozs"/>
        </w:rPr>
        <w:footnoteRef/>
      </w:r>
      <w:r>
        <w:t xml:space="preserve"> Módosította a 10/2004.(IV.28.) ör. hatályos: 2004. április 28-tól.</w:t>
      </w:r>
    </w:p>
  </w:footnote>
  <w:footnote w:id="3">
    <w:p w:rsidR="002A276D" w:rsidRDefault="002A276D" w:rsidP="001A3FA6">
      <w:pPr>
        <w:pStyle w:val="Lbjegyzetszveg"/>
      </w:pPr>
      <w:r>
        <w:rPr>
          <w:rStyle w:val="Lbjegyzet-hivatkozs"/>
        </w:rPr>
        <w:footnoteRef/>
      </w:r>
      <w:r>
        <w:t xml:space="preserve"> Módosította a 10/2004.(IV.28.) ör. hatályos: 2004. április 28-tól.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Default="001A3FA6" w:rsidP="001A3FA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A3FA6" w:rsidRDefault="001A3FA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Default="001A3FA6">
    <w:pPr>
      <w:pStyle w:val="lfej"/>
      <w:jc w:val="center"/>
    </w:pPr>
  </w:p>
  <w:p w:rsidR="001A3FA6" w:rsidRDefault="001A3FA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A6" w:rsidRPr="00060DC2" w:rsidRDefault="001A3FA6" w:rsidP="001A3FA6">
    <w:pPr>
      <w:pStyle w:val="lfej"/>
      <w:jc w:val="center"/>
      <w:rPr>
        <w:b/>
        <w:szCs w:val="24"/>
      </w:rPr>
    </w:pPr>
    <w:r w:rsidRPr="007D6667">
      <w:rPr>
        <w:b/>
        <w:szCs w:val="24"/>
      </w:rPr>
      <w:t>Budapest Főváros II. Kerületi Önkormányzat Képviselő-testületének …/202</w:t>
    </w:r>
    <w:r w:rsidR="00E716A4">
      <w:rPr>
        <w:b/>
        <w:szCs w:val="24"/>
        <w:lang w:val="hu-HU"/>
      </w:rPr>
      <w:t>1</w:t>
    </w:r>
    <w:r w:rsidRPr="007D6667">
      <w:rPr>
        <w:b/>
        <w:szCs w:val="24"/>
      </w:rPr>
      <w:t>. (…  … ) önkormányzati rendelete a gépjármű várakozóhelyek megváltásáról szóló 38/2001.(X.24.) önkormányzati rendelet módosításáról</w:t>
    </w:r>
    <w:r>
      <w:rPr>
        <w:b/>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48" w:rsidRPr="00060DC2" w:rsidRDefault="001C4048" w:rsidP="001A3FA6">
    <w:pPr>
      <w:pStyle w:val="lfej"/>
      <w:jc w:val="center"/>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03719"/>
    <w:multiLevelType w:val="multilevel"/>
    <w:tmpl w:val="E1BEC06A"/>
    <w:name w:val="Paragrafus"/>
    <w:styleLink w:val="Jogszabaly"/>
    <w:lvl w:ilvl="0">
      <w:start w:val="1"/>
      <w:numFmt w:val="decimal"/>
      <w:pStyle w:val="R1szint"/>
      <w:lvlText w:val="%1. §"/>
      <w:lvlJc w:val="left"/>
      <w:pPr>
        <w:ind w:left="567" w:hanging="567"/>
      </w:pPr>
      <w:rPr>
        <w:rFonts w:ascii="Calibri" w:hAnsi="Calibri" w:hint="default"/>
        <w:b/>
      </w:rPr>
    </w:lvl>
    <w:lvl w:ilvl="1">
      <w:start w:val="1"/>
      <w:numFmt w:val="decimal"/>
      <w:pStyle w:val="Rendelet2szint"/>
      <w:lvlText w:val="(%2)"/>
      <w:lvlJc w:val="left"/>
      <w:pPr>
        <w:ind w:left="1134" w:hanging="567"/>
      </w:pPr>
      <w:rPr>
        <w:rFonts w:ascii="Calibri" w:hAnsi="Calibri" w:hint="default"/>
      </w:rPr>
    </w:lvl>
    <w:lvl w:ilvl="2">
      <w:start w:val="1"/>
      <w:numFmt w:val="lowerLetter"/>
      <w:pStyle w:val="R3szint"/>
      <w:lvlText w:val="%3)"/>
      <w:lvlJc w:val="left"/>
      <w:pPr>
        <w:ind w:left="1701" w:hanging="567"/>
      </w:pPr>
      <w:rPr>
        <w:rFonts w:hint="default"/>
      </w:rPr>
    </w:lvl>
    <w:lvl w:ilvl="3">
      <w:start w:val="1"/>
      <w:numFmt w:val="lowerLetter"/>
      <w:pStyle w:val="R4szint"/>
      <w:lvlText w:val=" %3%4)"/>
      <w:lvlJc w:val="left"/>
      <w:pPr>
        <w:ind w:left="2268" w:hanging="56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nsid w:val="03D078E0"/>
    <w:multiLevelType w:val="hybridMultilevel"/>
    <w:tmpl w:val="FC4A3C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DF5AB6"/>
    <w:multiLevelType w:val="multilevel"/>
    <w:tmpl w:val="CA2EC62A"/>
    <w:lvl w:ilvl="0">
      <w:start w:val="1"/>
      <w:numFmt w:val="decimal"/>
      <w:pStyle w:val="R1para1"/>
      <w:lvlText w:val="%1. §"/>
      <w:lvlJc w:val="left"/>
      <w:pPr>
        <w:ind w:left="425" w:hanging="425"/>
      </w:pPr>
      <w:rPr>
        <w:rFonts w:ascii="Calibri" w:hAnsi="Calibri" w:hint="default"/>
        <w:b/>
        <w:i w:val="0"/>
        <w:sz w:val="16"/>
      </w:rPr>
    </w:lvl>
    <w:lvl w:ilvl="1">
      <w:start w:val="2"/>
      <w:numFmt w:val="decimal"/>
      <w:pStyle w:val="R2bekezdes"/>
      <w:lvlText w:val="(%2)"/>
      <w:lvlJc w:val="left"/>
      <w:pPr>
        <w:ind w:left="851" w:hanging="426"/>
      </w:pPr>
      <w:rPr>
        <w:rFonts w:ascii="Calibri" w:hAnsi="Calibri" w:hint="default"/>
        <w:b w:val="0"/>
        <w:i w:val="0"/>
        <w:sz w:val="16"/>
      </w:rPr>
    </w:lvl>
    <w:lvl w:ilvl="2">
      <w:start w:val="1"/>
      <w:numFmt w:val="lowerLetter"/>
      <w:pStyle w:val="R3pont"/>
      <w:lvlText w:val="%3)"/>
      <w:lvlJc w:val="left"/>
      <w:pPr>
        <w:ind w:left="1276" w:hanging="425"/>
      </w:pPr>
      <w:rPr>
        <w:rFonts w:hint="default"/>
      </w:rPr>
    </w:lvl>
    <w:lvl w:ilvl="3">
      <w:start w:val="1"/>
      <w:numFmt w:val="lowerLetter"/>
      <w:pStyle w:val="R4alpont"/>
      <w:lvlText w:val="%3%4)"/>
      <w:lvlJc w:val="left"/>
      <w:pPr>
        <w:ind w:left="1701" w:hanging="425"/>
      </w:pPr>
      <w:rPr>
        <w:rFonts w:hint="default"/>
      </w:rPr>
    </w:lvl>
    <w:lvl w:ilvl="4">
      <w:start w:val="1"/>
      <w:numFmt w:val="lowerLetter"/>
      <w:lvlText w:val="%3%4%5)"/>
      <w:lvlJc w:val="left"/>
      <w:pPr>
        <w:ind w:left="1800" w:hanging="360"/>
      </w:pPr>
      <w:rPr>
        <w:rFonts w:hint="default"/>
      </w:rPr>
    </w:lvl>
    <w:lvl w:ilvl="5">
      <w:start w:val="1"/>
      <w:numFmt w:val="lowerLetter"/>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C23D7"/>
    <w:multiLevelType w:val="multilevel"/>
    <w:tmpl w:val="25AEF3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9890C54"/>
    <w:multiLevelType w:val="hybridMultilevel"/>
    <w:tmpl w:val="560A21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C72104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DA53355"/>
    <w:multiLevelType w:val="hybridMultilevel"/>
    <w:tmpl w:val="E92AAA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DC0327D"/>
    <w:multiLevelType w:val="hybridMultilevel"/>
    <w:tmpl w:val="2DCEC736"/>
    <w:lvl w:ilvl="0" w:tplc="EEA49E26">
      <w:start w:val="1"/>
      <w:numFmt w:val="decimal"/>
      <w:lvlText w:val="%1)"/>
      <w:lvlJc w:val="left"/>
      <w:pPr>
        <w:ind w:left="692" w:hanging="360"/>
      </w:pPr>
      <w:rPr>
        <w:rFonts w:ascii="Times New Roman" w:hAnsi="Times New Roman" w:cs="Times New Roman" w:hint="default"/>
        <w:b/>
        <w:sz w:val="24"/>
        <w:szCs w:val="24"/>
      </w:rPr>
    </w:lvl>
    <w:lvl w:ilvl="1" w:tplc="040E0019" w:tentative="1">
      <w:start w:val="1"/>
      <w:numFmt w:val="lowerLetter"/>
      <w:lvlText w:val="%2."/>
      <w:lvlJc w:val="left"/>
      <w:pPr>
        <w:ind w:left="1412" w:hanging="360"/>
      </w:pPr>
    </w:lvl>
    <w:lvl w:ilvl="2" w:tplc="040E001B" w:tentative="1">
      <w:start w:val="1"/>
      <w:numFmt w:val="lowerRoman"/>
      <w:lvlText w:val="%3."/>
      <w:lvlJc w:val="right"/>
      <w:pPr>
        <w:ind w:left="2132" w:hanging="180"/>
      </w:pPr>
    </w:lvl>
    <w:lvl w:ilvl="3" w:tplc="040E000F" w:tentative="1">
      <w:start w:val="1"/>
      <w:numFmt w:val="decimal"/>
      <w:lvlText w:val="%4."/>
      <w:lvlJc w:val="left"/>
      <w:pPr>
        <w:ind w:left="2852" w:hanging="360"/>
      </w:pPr>
    </w:lvl>
    <w:lvl w:ilvl="4" w:tplc="040E0019" w:tentative="1">
      <w:start w:val="1"/>
      <w:numFmt w:val="lowerLetter"/>
      <w:lvlText w:val="%5."/>
      <w:lvlJc w:val="left"/>
      <w:pPr>
        <w:ind w:left="3572" w:hanging="360"/>
      </w:pPr>
    </w:lvl>
    <w:lvl w:ilvl="5" w:tplc="040E001B" w:tentative="1">
      <w:start w:val="1"/>
      <w:numFmt w:val="lowerRoman"/>
      <w:lvlText w:val="%6."/>
      <w:lvlJc w:val="right"/>
      <w:pPr>
        <w:ind w:left="4292" w:hanging="180"/>
      </w:pPr>
    </w:lvl>
    <w:lvl w:ilvl="6" w:tplc="040E000F" w:tentative="1">
      <w:start w:val="1"/>
      <w:numFmt w:val="decimal"/>
      <w:lvlText w:val="%7."/>
      <w:lvlJc w:val="left"/>
      <w:pPr>
        <w:ind w:left="5012" w:hanging="360"/>
      </w:pPr>
    </w:lvl>
    <w:lvl w:ilvl="7" w:tplc="040E0019" w:tentative="1">
      <w:start w:val="1"/>
      <w:numFmt w:val="lowerLetter"/>
      <w:lvlText w:val="%8."/>
      <w:lvlJc w:val="left"/>
      <w:pPr>
        <w:ind w:left="5732" w:hanging="360"/>
      </w:pPr>
    </w:lvl>
    <w:lvl w:ilvl="8" w:tplc="040E001B" w:tentative="1">
      <w:start w:val="1"/>
      <w:numFmt w:val="lowerRoman"/>
      <w:lvlText w:val="%9."/>
      <w:lvlJc w:val="right"/>
      <w:pPr>
        <w:ind w:left="6452" w:hanging="180"/>
      </w:pPr>
    </w:lvl>
  </w:abstractNum>
  <w:abstractNum w:abstractNumId="9">
    <w:nsid w:val="135B2F9E"/>
    <w:multiLevelType w:val="hybridMultilevel"/>
    <w:tmpl w:val="FE605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4110BBE"/>
    <w:multiLevelType w:val="hybridMultilevel"/>
    <w:tmpl w:val="710C3546"/>
    <w:lvl w:ilvl="0" w:tplc="040E0011">
      <w:start w:val="1"/>
      <w:numFmt w:val="decimal"/>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1">
    <w:nsid w:val="1E705F32"/>
    <w:multiLevelType w:val="hybridMultilevel"/>
    <w:tmpl w:val="A9B284F2"/>
    <w:lvl w:ilvl="0" w:tplc="D716106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B6743FC"/>
    <w:multiLevelType w:val="hybridMultilevel"/>
    <w:tmpl w:val="91B4082A"/>
    <w:lvl w:ilvl="0" w:tplc="245A0266">
      <w:start w:val="1"/>
      <w:numFmt w:val="decimal"/>
      <w:lvlText w:val="%1."/>
      <w:lvlJc w:val="left"/>
      <w:pPr>
        <w:ind w:left="180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2CA32042"/>
    <w:multiLevelType w:val="hybridMultilevel"/>
    <w:tmpl w:val="AA3C2C64"/>
    <w:lvl w:ilvl="0" w:tplc="E4C01882">
      <w:start w:val="1"/>
      <w:numFmt w:val="decimal"/>
      <w:lvlText w:val="(%1)"/>
      <w:lvlJc w:val="left"/>
      <w:pPr>
        <w:tabs>
          <w:tab w:val="num" w:pos="425"/>
        </w:tabs>
        <w:ind w:left="425" w:hanging="425"/>
      </w:pPr>
      <w:rPr>
        <w:rFonts w:ascii="Times New Roman" w:hAnsi="Times New Roman" w:hint="default"/>
        <w:b/>
        <w:i/>
        <w:caps w:val="0"/>
        <w:strike w:val="0"/>
        <w:dstrike w:val="0"/>
        <w:vanish w:val="0"/>
        <w:color w:val="FF0000"/>
        <w:sz w:val="20"/>
        <w:szCs w:val="20"/>
        <w:u w:val="none"/>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CF57CC8"/>
    <w:multiLevelType w:val="hybridMultilevel"/>
    <w:tmpl w:val="CE563076"/>
    <w:lvl w:ilvl="0" w:tplc="FFECC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E4777B"/>
    <w:multiLevelType w:val="hybridMultilevel"/>
    <w:tmpl w:val="A668817C"/>
    <w:lvl w:ilvl="0" w:tplc="7090C28A">
      <w:start w:val="2"/>
      <w:numFmt w:val="bullet"/>
      <w:lvlText w:val="-"/>
      <w:lvlJc w:val="left"/>
      <w:pPr>
        <w:tabs>
          <w:tab w:val="num" w:pos="-1296"/>
        </w:tabs>
        <w:ind w:left="-1296" w:hanging="360"/>
      </w:pPr>
      <w:rPr>
        <w:rFonts w:ascii="Times New Roman" w:eastAsia="Times New Roman" w:hAnsi="Times New Roman" w:cs="Times New Roman" w:hint="default"/>
      </w:rPr>
    </w:lvl>
    <w:lvl w:ilvl="1" w:tplc="040E0003" w:tentative="1">
      <w:start w:val="1"/>
      <w:numFmt w:val="bullet"/>
      <w:lvlText w:val="o"/>
      <w:lvlJc w:val="left"/>
      <w:pPr>
        <w:tabs>
          <w:tab w:val="num" w:pos="-576"/>
        </w:tabs>
        <w:ind w:left="-576" w:hanging="360"/>
      </w:pPr>
      <w:rPr>
        <w:rFonts w:ascii="Courier New" w:hAnsi="Courier New" w:hint="default"/>
      </w:rPr>
    </w:lvl>
    <w:lvl w:ilvl="2" w:tplc="040E0005" w:tentative="1">
      <w:start w:val="1"/>
      <w:numFmt w:val="bullet"/>
      <w:lvlText w:val=""/>
      <w:lvlJc w:val="left"/>
      <w:pPr>
        <w:tabs>
          <w:tab w:val="num" w:pos="144"/>
        </w:tabs>
        <w:ind w:left="144" w:hanging="360"/>
      </w:pPr>
      <w:rPr>
        <w:rFonts w:ascii="Wingdings" w:hAnsi="Wingdings" w:hint="default"/>
      </w:rPr>
    </w:lvl>
    <w:lvl w:ilvl="3" w:tplc="040E0001" w:tentative="1">
      <w:start w:val="1"/>
      <w:numFmt w:val="bullet"/>
      <w:lvlText w:val=""/>
      <w:lvlJc w:val="left"/>
      <w:pPr>
        <w:tabs>
          <w:tab w:val="num" w:pos="864"/>
        </w:tabs>
        <w:ind w:left="864" w:hanging="360"/>
      </w:pPr>
      <w:rPr>
        <w:rFonts w:ascii="Symbol" w:hAnsi="Symbol" w:hint="default"/>
      </w:rPr>
    </w:lvl>
    <w:lvl w:ilvl="4" w:tplc="040E0003" w:tentative="1">
      <w:start w:val="1"/>
      <w:numFmt w:val="bullet"/>
      <w:lvlText w:val="o"/>
      <w:lvlJc w:val="left"/>
      <w:pPr>
        <w:tabs>
          <w:tab w:val="num" w:pos="1584"/>
        </w:tabs>
        <w:ind w:left="1584" w:hanging="360"/>
      </w:pPr>
      <w:rPr>
        <w:rFonts w:ascii="Courier New" w:hAnsi="Courier New" w:hint="default"/>
      </w:rPr>
    </w:lvl>
    <w:lvl w:ilvl="5" w:tplc="040E0005" w:tentative="1">
      <w:start w:val="1"/>
      <w:numFmt w:val="bullet"/>
      <w:lvlText w:val=""/>
      <w:lvlJc w:val="left"/>
      <w:pPr>
        <w:tabs>
          <w:tab w:val="num" w:pos="2304"/>
        </w:tabs>
        <w:ind w:left="2304" w:hanging="360"/>
      </w:pPr>
      <w:rPr>
        <w:rFonts w:ascii="Wingdings" w:hAnsi="Wingdings" w:hint="default"/>
      </w:rPr>
    </w:lvl>
    <w:lvl w:ilvl="6" w:tplc="040E0001" w:tentative="1">
      <w:start w:val="1"/>
      <w:numFmt w:val="bullet"/>
      <w:lvlText w:val=""/>
      <w:lvlJc w:val="left"/>
      <w:pPr>
        <w:tabs>
          <w:tab w:val="num" w:pos="3024"/>
        </w:tabs>
        <w:ind w:left="3024" w:hanging="360"/>
      </w:pPr>
      <w:rPr>
        <w:rFonts w:ascii="Symbol" w:hAnsi="Symbol" w:hint="default"/>
      </w:rPr>
    </w:lvl>
    <w:lvl w:ilvl="7" w:tplc="040E0003" w:tentative="1">
      <w:start w:val="1"/>
      <w:numFmt w:val="bullet"/>
      <w:lvlText w:val="o"/>
      <w:lvlJc w:val="left"/>
      <w:pPr>
        <w:tabs>
          <w:tab w:val="num" w:pos="3744"/>
        </w:tabs>
        <w:ind w:left="3744" w:hanging="360"/>
      </w:pPr>
      <w:rPr>
        <w:rFonts w:ascii="Courier New" w:hAnsi="Courier New" w:hint="default"/>
      </w:rPr>
    </w:lvl>
    <w:lvl w:ilvl="8" w:tplc="040E0005" w:tentative="1">
      <w:start w:val="1"/>
      <w:numFmt w:val="bullet"/>
      <w:lvlText w:val=""/>
      <w:lvlJc w:val="left"/>
      <w:pPr>
        <w:tabs>
          <w:tab w:val="num" w:pos="4464"/>
        </w:tabs>
        <w:ind w:left="4464" w:hanging="360"/>
      </w:pPr>
      <w:rPr>
        <w:rFonts w:ascii="Wingdings" w:hAnsi="Wingdings" w:hint="default"/>
      </w:rPr>
    </w:lvl>
  </w:abstractNum>
  <w:abstractNum w:abstractNumId="16">
    <w:nsid w:val="36760E25"/>
    <w:multiLevelType w:val="hybridMultilevel"/>
    <w:tmpl w:val="1E5894C6"/>
    <w:lvl w:ilvl="0" w:tplc="30A826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9617772"/>
    <w:multiLevelType w:val="hybridMultilevel"/>
    <w:tmpl w:val="6D360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D744270"/>
    <w:multiLevelType w:val="hybridMultilevel"/>
    <w:tmpl w:val="2F0AF908"/>
    <w:lvl w:ilvl="0" w:tplc="4DFAFB86">
      <w:start w:val="1"/>
      <w:numFmt w:val="decimal"/>
      <w:lvlText w:val="%1)"/>
      <w:lvlJc w:val="left"/>
      <w:pPr>
        <w:ind w:left="1412" w:hanging="360"/>
      </w:pPr>
      <w:rPr>
        <w:b/>
      </w:rPr>
    </w:lvl>
    <w:lvl w:ilvl="1" w:tplc="040E0019" w:tentative="1">
      <w:start w:val="1"/>
      <w:numFmt w:val="lowerLetter"/>
      <w:lvlText w:val="%2."/>
      <w:lvlJc w:val="left"/>
      <w:pPr>
        <w:ind w:left="2132" w:hanging="360"/>
      </w:pPr>
    </w:lvl>
    <w:lvl w:ilvl="2" w:tplc="040E001B" w:tentative="1">
      <w:start w:val="1"/>
      <w:numFmt w:val="lowerRoman"/>
      <w:lvlText w:val="%3."/>
      <w:lvlJc w:val="right"/>
      <w:pPr>
        <w:ind w:left="2852" w:hanging="180"/>
      </w:pPr>
    </w:lvl>
    <w:lvl w:ilvl="3" w:tplc="040E000F" w:tentative="1">
      <w:start w:val="1"/>
      <w:numFmt w:val="decimal"/>
      <w:lvlText w:val="%4."/>
      <w:lvlJc w:val="left"/>
      <w:pPr>
        <w:ind w:left="3572" w:hanging="360"/>
      </w:pPr>
    </w:lvl>
    <w:lvl w:ilvl="4" w:tplc="040E0019" w:tentative="1">
      <w:start w:val="1"/>
      <w:numFmt w:val="lowerLetter"/>
      <w:lvlText w:val="%5."/>
      <w:lvlJc w:val="left"/>
      <w:pPr>
        <w:ind w:left="4292" w:hanging="360"/>
      </w:pPr>
    </w:lvl>
    <w:lvl w:ilvl="5" w:tplc="040E001B" w:tentative="1">
      <w:start w:val="1"/>
      <w:numFmt w:val="lowerRoman"/>
      <w:lvlText w:val="%6."/>
      <w:lvlJc w:val="right"/>
      <w:pPr>
        <w:ind w:left="5012" w:hanging="180"/>
      </w:pPr>
    </w:lvl>
    <w:lvl w:ilvl="6" w:tplc="040E000F" w:tentative="1">
      <w:start w:val="1"/>
      <w:numFmt w:val="decimal"/>
      <w:lvlText w:val="%7."/>
      <w:lvlJc w:val="left"/>
      <w:pPr>
        <w:ind w:left="5732" w:hanging="360"/>
      </w:pPr>
    </w:lvl>
    <w:lvl w:ilvl="7" w:tplc="040E0019" w:tentative="1">
      <w:start w:val="1"/>
      <w:numFmt w:val="lowerLetter"/>
      <w:lvlText w:val="%8."/>
      <w:lvlJc w:val="left"/>
      <w:pPr>
        <w:ind w:left="6452" w:hanging="360"/>
      </w:pPr>
    </w:lvl>
    <w:lvl w:ilvl="8" w:tplc="040E001B" w:tentative="1">
      <w:start w:val="1"/>
      <w:numFmt w:val="lowerRoman"/>
      <w:lvlText w:val="%9."/>
      <w:lvlJc w:val="right"/>
      <w:pPr>
        <w:ind w:left="7172" w:hanging="180"/>
      </w:pPr>
    </w:lvl>
  </w:abstractNum>
  <w:abstractNum w:abstractNumId="19">
    <w:nsid w:val="40970F69"/>
    <w:multiLevelType w:val="hybridMultilevel"/>
    <w:tmpl w:val="446410D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40A25158"/>
    <w:multiLevelType w:val="hybridMultilevel"/>
    <w:tmpl w:val="AA3C2C64"/>
    <w:lvl w:ilvl="0" w:tplc="E4C01882">
      <w:start w:val="1"/>
      <w:numFmt w:val="decimal"/>
      <w:lvlText w:val="(%1)"/>
      <w:lvlJc w:val="left"/>
      <w:pPr>
        <w:tabs>
          <w:tab w:val="num" w:pos="425"/>
        </w:tabs>
        <w:ind w:left="425" w:hanging="425"/>
      </w:pPr>
      <w:rPr>
        <w:rFonts w:ascii="Times New Roman" w:hAnsi="Times New Roman" w:hint="default"/>
        <w:b/>
        <w:i/>
        <w:caps w:val="0"/>
        <w:strike w:val="0"/>
        <w:dstrike w:val="0"/>
        <w:vanish w:val="0"/>
        <w:color w:val="FF0000"/>
        <w:sz w:val="20"/>
        <w:szCs w:val="20"/>
        <w:u w:val="none"/>
        <w:vertAlign w:val="baseli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1C677D6"/>
    <w:multiLevelType w:val="hybridMultilevel"/>
    <w:tmpl w:val="D0D4E43C"/>
    <w:lvl w:ilvl="0" w:tplc="245A0266">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34328E2"/>
    <w:multiLevelType w:val="hybridMultilevel"/>
    <w:tmpl w:val="243C5CDE"/>
    <w:lvl w:ilvl="0" w:tplc="25C20EC0">
      <w:start w:val="1"/>
      <w:numFmt w:val="decimal"/>
      <w:pStyle w:val="paragrafu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38337A6"/>
    <w:multiLevelType w:val="hybridMultilevel"/>
    <w:tmpl w:val="FE605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50105E7"/>
    <w:multiLevelType w:val="hybridMultilevel"/>
    <w:tmpl w:val="3BE04948"/>
    <w:lvl w:ilvl="0" w:tplc="74D6B61A">
      <w:start w:val="3"/>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6155151"/>
    <w:multiLevelType w:val="hybridMultilevel"/>
    <w:tmpl w:val="133054EA"/>
    <w:lvl w:ilvl="0" w:tplc="E8D60A28">
      <w:start w:val="1"/>
      <w:numFmt w:val="decimal"/>
      <w:lvlText w:val="(%1)"/>
      <w:lvlJc w:val="left"/>
      <w:pPr>
        <w:ind w:left="795" w:hanging="435"/>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0797379"/>
    <w:multiLevelType w:val="hybridMultilevel"/>
    <w:tmpl w:val="67EC26B4"/>
    <w:lvl w:ilvl="0" w:tplc="6D48BB6A">
      <w:start w:val="2"/>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7E251E1"/>
    <w:multiLevelType w:val="multilevel"/>
    <w:tmpl w:val="E1BEC06A"/>
    <w:name w:val="Paragrafus22"/>
    <w:numStyleLink w:val="Jogszabaly"/>
  </w:abstractNum>
  <w:abstractNum w:abstractNumId="28">
    <w:nsid w:val="61886FBC"/>
    <w:multiLevelType w:val="hybridMultilevel"/>
    <w:tmpl w:val="38404314"/>
    <w:lvl w:ilvl="0" w:tplc="60DEB76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40A1B34"/>
    <w:multiLevelType w:val="hybridMultilevel"/>
    <w:tmpl w:val="B2D4E2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4CA736D"/>
    <w:multiLevelType w:val="hybridMultilevel"/>
    <w:tmpl w:val="2368DA30"/>
    <w:lvl w:ilvl="0" w:tplc="1B26FFBE">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4F2689B"/>
    <w:multiLevelType w:val="hybridMultilevel"/>
    <w:tmpl w:val="CC8EFFB0"/>
    <w:lvl w:ilvl="0" w:tplc="040E000F">
      <w:start w:val="1"/>
      <w:numFmt w:val="decimal"/>
      <w:lvlText w:val="%1."/>
      <w:lvlJc w:val="left"/>
      <w:pPr>
        <w:ind w:left="720" w:hanging="360"/>
      </w:pPr>
    </w:lvl>
    <w:lvl w:ilvl="1" w:tplc="9586A084">
      <w:start w:val="1"/>
      <w:numFmt w:val="ordinal"/>
      <w:pStyle w:val="TKR"/>
      <w:suff w:val="space"/>
      <w:lvlText w:val="%2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63843B5"/>
    <w:multiLevelType w:val="hybridMultilevel"/>
    <w:tmpl w:val="BBB48E08"/>
    <w:lvl w:ilvl="0" w:tplc="8A48839E">
      <w:start w:val="1"/>
      <w:numFmt w:val="decimal"/>
      <w:lvlText w:val="%1."/>
      <w:lvlJc w:val="center"/>
      <w:pPr>
        <w:ind w:left="720" w:hanging="360"/>
      </w:pPr>
      <w:rPr>
        <w:rFonts w:hint="default"/>
      </w:rPr>
    </w:lvl>
    <w:lvl w:ilvl="1" w:tplc="682840F4">
      <w:start w:val="4"/>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38F09DE2">
      <w:start w:val="1"/>
      <w:numFmt w:val="decimal"/>
      <w:suff w:val="space"/>
      <w:lvlText w:val="%7."/>
      <w:lvlJc w:val="left"/>
      <w:pPr>
        <w:ind w:left="0" w:firstLine="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6BD3394"/>
    <w:multiLevelType w:val="hybridMultilevel"/>
    <w:tmpl w:val="C16E45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8380CEE"/>
    <w:multiLevelType w:val="multilevel"/>
    <w:tmpl w:val="A07675DE"/>
    <w:lvl w:ilvl="0">
      <w:start w:val="1"/>
      <w:numFmt w:val="decimal"/>
      <w:pStyle w:val="bekTK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9511A07"/>
    <w:multiLevelType w:val="hybridMultilevel"/>
    <w:tmpl w:val="7EB0A2BA"/>
    <w:lvl w:ilvl="0" w:tplc="F9F4C530">
      <w:start w:val="1"/>
      <w:numFmt w:val="decimal"/>
      <w:pStyle w:val="IIKVSZbek1normalszurke"/>
      <w:lvlText w:val="(%1)"/>
      <w:lvlJc w:val="left"/>
      <w:pPr>
        <w:ind w:left="720" w:hanging="360"/>
      </w:pPr>
      <w:rPr>
        <w:rFonts w:ascii="Times New Roman" w:hAnsi="Times New Roman" w:hint="default"/>
        <w:b/>
        <w:i/>
        <w:caps w:val="0"/>
        <w:strike w:val="0"/>
        <w:dstrike w:val="0"/>
        <w:vanish w:val="0"/>
        <w:color w:val="FF0000"/>
        <w:sz w:val="24"/>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D2B542F"/>
    <w:multiLevelType w:val="hybridMultilevel"/>
    <w:tmpl w:val="12EEB0E2"/>
    <w:lvl w:ilvl="0" w:tplc="48AA1A54">
      <w:start w:val="1"/>
      <w:numFmt w:val="decimal"/>
      <w:lvlText w:val="%1)"/>
      <w:lvlJc w:val="left"/>
      <w:pPr>
        <w:ind w:left="705" w:hanging="735"/>
      </w:pPr>
      <w:rPr>
        <w:rFonts w:hint="default"/>
        <w:color w:val="auto"/>
      </w:rPr>
    </w:lvl>
    <w:lvl w:ilvl="1" w:tplc="040E0019" w:tentative="1">
      <w:start w:val="1"/>
      <w:numFmt w:val="lowerLetter"/>
      <w:lvlText w:val="%2."/>
      <w:lvlJc w:val="left"/>
      <w:pPr>
        <w:ind w:left="1050" w:hanging="360"/>
      </w:pPr>
    </w:lvl>
    <w:lvl w:ilvl="2" w:tplc="040E001B" w:tentative="1">
      <w:start w:val="1"/>
      <w:numFmt w:val="lowerRoman"/>
      <w:lvlText w:val="%3."/>
      <w:lvlJc w:val="right"/>
      <w:pPr>
        <w:ind w:left="1770" w:hanging="180"/>
      </w:pPr>
    </w:lvl>
    <w:lvl w:ilvl="3" w:tplc="040E000F" w:tentative="1">
      <w:start w:val="1"/>
      <w:numFmt w:val="decimal"/>
      <w:lvlText w:val="%4."/>
      <w:lvlJc w:val="left"/>
      <w:pPr>
        <w:ind w:left="2490" w:hanging="360"/>
      </w:pPr>
    </w:lvl>
    <w:lvl w:ilvl="4" w:tplc="040E0019" w:tentative="1">
      <w:start w:val="1"/>
      <w:numFmt w:val="lowerLetter"/>
      <w:lvlText w:val="%5."/>
      <w:lvlJc w:val="left"/>
      <w:pPr>
        <w:ind w:left="3210" w:hanging="360"/>
      </w:pPr>
    </w:lvl>
    <w:lvl w:ilvl="5" w:tplc="040E001B" w:tentative="1">
      <w:start w:val="1"/>
      <w:numFmt w:val="lowerRoman"/>
      <w:lvlText w:val="%6."/>
      <w:lvlJc w:val="right"/>
      <w:pPr>
        <w:ind w:left="3930" w:hanging="180"/>
      </w:pPr>
    </w:lvl>
    <w:lvl w:ilvl="6" w:tplc="040E000F" w:tentative="1">
      <w:start w:val="1"/>
      <w:numFmt w:val="decimal"/>
      <w:lvlText w:val="%7."/>
      <w:lvlJc w:val="left"/>
      <w:pPr>
        <w:ind w:left="4650" w:hanging="360"/>
      </w:pPr>
    </w:lvl>
    <w:lvl w:ilvl="7" w:tplc="040E0019" w:tentative="1">
      <w:start w:val="1"/>
      <w:numFmt w:val="lowerLetter"/>
      <w:lvlText w:val="%8."/>
      <w:lvlJc w:val="left"/>
      <w:pPr>
        <w:ind w:left="5370" w:hanging="360"/>
      </w:pPr>
    </w:lvl>
    <w:lvl w:ilvl="8" w:tplc="040E001B" w:tentative="1">
      <w:start w:val="1"/>
      <w:numFmt w:val="lowerRoman"/>
      <w:lvlText w:val="%9."/>
      <w:lvlJc w:val="right"/>
      <w:pPr>
        <w:ind w:left="6090" w:hanging="180"/>
      </w:pPr>
    </w:lvl>
  </w:abstractNum>
  <w:abstractNum w:abstractNumId="37">
    <w:nsid w:val="776C343E"/>
    <w:multiLevelType w:val="hybridMultilevel"/>
    <w:tmpl w:val="F102659C"/>
    <w:lvl w:ilvl="0" w:tplc="682840F4">
      <w:start w:val="4"/>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92F4E52"/>
    <w:multiLevelType w:val="hybridMultilevel"/>
    <w:tmpl w:val="E772B5CE"/>
    <w:lvl w:ilvl="0" w:tplc="040E000F">
      <w:start w:val="1"/>
      <w:numFmt w:val="decimal"/>
      <w:lvlText w:val="%1."/>
      <w:lvlJc w:val="left"/>
      <w:pPr>
        <w:ind w:left="692" w:hanging="360"/>
      </w:pPr>
    </w:lvl>
    <w:lvl w:ilvl="1" w:tplc="040E0019" w:tentative="1">
      <w:start w:val="1"/>
      <w:numFmt w:val="lowerLetter"/>
      <w:lvlText w:val="%2."/>
      <w:lvlJc w:val="left"/>
      <w:pPr>
        <w:ind w:left="1412" w:hanging="360"/>
      </w:pPr>
    </w:lvl>
    <w:lvl w:ilvl="2" w:tplc="040E001B" w:tentative="1">
      <w:start w:val="1"/>
      <w:numFmt w:val="lowerRoman"/>
      <w:lvlText w:val="%3."/>
      <w:lvlJc w:val="right"/>
      <w:pPr>
        <w:ind w:left="2132" w:hanging="180"/>
      </w:pPr>
    </w:lvl>
    <w:lvl w:ilvl="3" w:tplc="040E000F" w:tentative="1">
      <w:start w:val="1"/>
      <w:numFmt w:val="decimal"/>
      <w:lvlText w:val="%4."/>
      <w:lvlJc w:val="left"/>
      <w:pPr>
        <w:ind w:left="2852" w:hanging="360"/>
      </w:pPr>
    </w:lvl>
    <w:lvl w:ilvl="4" w:tplc="040E0019" w:tentative="1">
      <w:start w:val="1"/>
      <w:numFmt w:val="lowerLetter"/>
      <w:lvlText w:val="%5."/>
      <w:lvlJc w:val="left"/>
      <w:pPr>
        <w:ind w:left="3572" w:hanging="360"/>
      </w:pPr>
    </w:lvl>
    <w:lvl w:ilvl="5" w:tplc="040E001B" w:tentative="1">
      <w:start w:val="1"/>
      <w:numFmt w:val="lowerRoman"/>
      <w:lvlText w:val="%6."/>
      <w:lvlJc w:val="right"/>
      <w:pPr>
        <w:ind w:left="4292" w:hanging="180"/>
      </w:pPr>
    </w:lvl>
    <w:lvl w:ilvl="6" w:tplc="040E000F" w:tentative="1">
      <w:start w:val="1"/>
      <w:numFmt w:val="decimal"/>
      <w:lvlText w:val="%7."/>
      <w:lvlJc w:val="left"/>
      <w:pPr>
        <w:ind w:left="5012" w:hanging="360"/>
      </w:pPr>
    </w:lvl>
    <w:lvl w:ilvl="7" w:tplc="040E0019" w:tentative="1">
      <w:start w:val="1"/>
      <w:numFmt w:val="lowerLetter"/>
      <w:lvlText w:val="%8."/>
      <w:lvlJc w:val="left"/>
      <w:pPr>
        <w:ind w:left="5732" w:hanging="360"/>
      </w:pPr>
    </w:lvl>
    <w:lvl w:ilvl="8" w:tplc="040E001B" w:tentative="1">
      <w:start w:val="1"/>
      <w:numFmt w:val="lowerRoman"/>
      <w:lvlText w:val="%9."/>
      <w:lvlJc w:val="right"/>
      <w:pPr>
        <w:ind w:left="6452" w:hanging="180"/>
      </w:pPr>
    </w:lvl>
  </w:abstractNum>
  <w:abstractNum w:abstractNumId="39">
    <w:nsid w:val="79E34987"/>
    <w:multiLevelType w:val="hybridMultilevel"/>
    <w:tmpl w:val="EBE6936A"/>
    <w:lvl w:ilvl="0" w:tplc="A510D8E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nsid w:val="7E8216FD"/>
    <w:multiLevelType w:val="hybridMultilevel"/>
    <w:tmpl w:val="446410D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6"/>
  </w:num>
  <w:num w:numId="2">
    <w:abstractNumId w:val="32"/>
  </w:num>
  <w:num w:numId="3">
    <w:abstractNumId w:val="24"/>
  </w:num>
  <w:num w:numId="4">
    <w:abstractNumId w:val="20"/>
  </w:num>
  <w:num w:numId="5">
    <w:abstractNumId w:val="35"/>
  </w:num>
  <w:num w:numId="6">
    <w:abstractNumId w:val="22"/>
  </w:num>
  <w:num w:numId="7">
    <w:abstractNumId w:val="5"/>
  </w:num>
  <w:num w:numId="8">
    <w:abstractNumId w:val="28"/>
  </w:num>
  <w:num w:numId="9">
    <w:abstractNumId w:val="14"/>
  </w:num>
  <w:num w:numId="10">
    <w:abstractNumId w:val="25"/>
  </w:num>
  <w:num w:numId="11">
    <w:abstractNumId w:val="37"/>
  </w:num>
  <w:num w:numId="12">
    <w:abstractNumId w:val="26"/>
  </w:num>
  <w:num w:numId="13">
    <w:abstractNumId w:val="13"/>
  </w:num>
  <w:num w:numId="14">
    <w:abstractNumId w:val="22"/>
    <w:lvlOverride w:ilvl="0">
      <w:startOverride w:val="3"/>
    </w:lvlOverride>
  </w:num>
  <w:num w:numId="15">
    <w:abstractNumId w:val="9"/>
  </w:num>
  <w:num w:numId="16">
    <w:abstractNumId w:val="0"/>
  </w:num>
  <w:num w:numId="17">
    <w:abstractNumId w:val="33"/>
  </w:num>
  <w:num w:numId="18">
    <w:abstractNumId w:val="29"/>
  </w:num>
  <w:num w:numId="19">
    <w:abstractNumId w:val="23"/>
  </w:num>
  <w:num w:numId="20">
    <w:abstractNumId w:val="10"/>
  </w:num>
  <w:num w:numId="21">
    <w:abstractNumId w:val="2"/>
  </w:num>
  <w:num w:numId="22">
    <w:abstractNumId w:val="8"/>
  </w:num>
  <w:num w:numId="23">
    <w:abstractNumId w:val="38"/>
  </w:num>
  <w:num w:numId="24">
    <w:abstractNumId w:val="7"/>
  </w:num>
  <w:num w:numId="25">
    <w:abstractNumId w:val="18"/>
  </w:num>
  <w:num w:numId="26">
    <w:abstractNumId w:val="39"/>
  </w:num>
  <w:num w:numId="27">
    <w:abstractNumId w:val="3"/>
    <w:lvlOverride w:ilvl="0">
      <w:lvl w:ilvl="0">
        <w:start w:val="30"/>
        <w:numFmt w:val="decimal"/>
        <w:pStyle w:val="R1para1"/>
        <w:lvlText w:val="%1. §"/>
        <w:lvlJc w:val="left"/>
        <w:pPr>
          <w:ind w:left="425" w:hanging="425"/>
        </w:pPr>
        <w:rPr>
          <w:rFonts w:hint="default"/>
          <w:b/>
          <w:i w:val="0"/>
        </w:rPr>
      </w:lvl>
    </w:lvlOverride>
    <w:lvlOverride w:ilvl="1">
      <w:lvl w:ilvl="1">
        <w:start w:val="2"/>
        <w:numFmt w:val="decimal"/>
        <w:pStyle w:val="R2bekezdes"/>
        <w:lvlText w:val="(%2)"/>
        <w:lvlJc w:val="left"/>
        <w:pPr>
          <w:ind w:left="851" w:hanging="426"/>
        </w:pPr>
        <w:rPr>
          <w:rFonts w:hint="default"/>
          <w:b w:val="0"/>
          <w:i w:val="0"/>
        </w:rPr>
      </w:lvl>
    </w:lvlOverride>
    <w:lvlOverride w:ilvl="2">
      <w:lvl w:ilvl="2">
        <w:start w:val="1"/>
        <w:numFmt w:val="lowerLetter"/>
        <w:pStyle w:val="R3pont"/>
        <w:lvlText w:val="%3)"/>
        <w:lvlJc w:val="left"/>
        <w:pPr>
          <w:ind w:left="1276" w:hanging="425"/>
        </w:pPr>
        <w:rPr>
          <w:rFonts w:hint="default"/>
          <w:b w:val="0"/>
          <w:i w:val="0"/>
        </w:rPr>
      </w:lvl>
    </w:lvlOverride>
    <w:lvlOverride w:ilvl="3">
      <w:lvl w:ilvl="3">
        <w:start w:val="1"/>
        <w:numFmt w:val="lowerLetter"/>
        <w:pStyle w:val="R4alpont"/>
        <w:lvlText w:val="%3%4)"/>
        <w:lvlJc w:val="left"/>
        <w:pPr>
          <w:ind w:left="1701" w:hanging="425"/>
        </w:pPr>
        <w:rPr>
          <w:rFonts w:hint="default"/>
          <w:b w:val="0"/>
        </w:rPr>
      </w:lvl>
    </w:lvlOverride>
    <w:lvlOverride w:ilvl="4">
      <w:lvl w:ilvl="4">
        <w:start w:val="1"/>
        <w:numFmt w:val="lowerLetter"/>
        <w:lvlText w:val="%3%4%5)"/>
        <w:lvlJc w:val="left"/>
        <w:pPr>
          <w:ind w:left="1800" w:hanging="360"/>
        </w:pPr>
        <w:rPr>
          <w:rFonts w:hint="default"/>
        </w:rPr>
      </w:lvl>
    </w:lvlOverride>
    <w:lvlOverride w:ilvl="5">
      <w:lvl w:ilvl="5">
        <w:start w:val="1"/>
        <w:numFmt w:val="lowerLetter"/>
        <w:lvlText w:val="%3%4%5%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num>
  <w:num w:numId="29">
    <w:abstractNumId w:val="30"/>
  </w:num>
  <w:num w:numId="30">
    <w:abstractNumId w:val="31"/>
  </w:num>
  <w:num w:numId="31">
    <w:abstractNumId w:val="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6"/>
  </w:num>
  <w:num w:numId="34">
    <w:abstractNumId w:val="4"/>
  </w:num>
  <w:num w:numId="35">
    <w:abstractNumId w:val="17"/>
  </w:num>
  <w:num w:numId="36">
    <w:abstractNumId w:val="21"/>
  </w:num>
  <w:num w:numId="37">
    <w:abstractNumId w:val="12"/>
  </w:num>
  <w:num w:numId="38">
    <w:abstractNumId w:val="1"/>
  </w:num>
  <w:num w:numId="39">
    <w:abstractNumId w:val="27"/>
    <w:lvlOverride w:ilvl="0">
      <w:lvl w:ilvl="0">
        <w:start w:val="1"/>
        <w:numFmt w:val="decimal"/>
        <w:pStyle w:val="R1szint"/>
        <w:lvlText w:val="%1. §"/>
        <w:lvlJc w:val="left"/>
        <w:pPr>
          <w:ind w:left="567" w:hanging="567"/>
        </w:pPr>
        <w:rPr>
          <w:rFonts w:ascii="Calibri" w:hAnsi="Calibri" w:hint="default"/>
          <w:b/>
        </w:rPr>
      </w:lvl>
    </w:lvlOverride>
    <w:lvlOverride w:ilvl="1">
      <w:lvl w:ilvl="1">
        <w:start w:val="1"/>
        <w:numFmt w:val="decimal"/>
        <w:pStyle w:val="Rendelet2szint"/>
        <w:lvlText w:val="(%2)"/>
        <w:lvlJc w:val="left"/>
        <w:pPr>
          <w:ind w:left="1134" w:hanging="567"/>
        </w:pPr>
        <w:rPr>
          <w:rFonts w:ascii="Calibri" w:hAnsi="Calibri" w:hint="default"/>
        </w:rPr>
      </w:lvl>
    </w:lvlOverride>
    <w:lvlOverride w:ilvl="2">
      <w:lvl w:ilvl="2">
        <w:start w:val="1"/>
        <w:numFmt w:val="lowerLetter"/>
        <w:pStyle w:val="R3szint"/>
        <w:lvlText w:val="%3)"/>
        <w:lvlJc w:val="left"/>
        <w:pPr>
          <w:ind w:left="1701" w:hanging="567"/>
        </w:pPr>
        <w:rPr>
          <w:rFonts w:hint="default"/>
        </w:rPr>
      </w:lvl>
    </w:lvlOverride>
    <w:lvlOverride w:ilvl="3">
      <w:lvl w:ilvl="3">
        <w:start w:val="1"/>
        <w:numFmt w:val="lowerLetter"/>
        <w:pStyle w:val="R4szint"/>
        <w:lvlText w:val=" %3%4)"/>
        <w:lvlJc w:val="left"/>
        <w:pPr>
          <w:ind w:left="2268" w:hanging="567"/>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40">
    <w:abstractNumId w:val="40"/>
  </w:num>
  <w:num w:numId="41">
    <w:abstractNumId w:val="1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53"/>
    <w:rsid w:val="000033FF"/>
    <w:rsid w:val="000113F9"/>
    <w:rsid w:val="00015969"/>
    <w:rsid w:val="0006765A"/>
    <w:rsid w:val="00090363"/>
    <w:rsid w:val="000B4EFE"/>
    <w:rsid w:val="000C5E43"/>
    <w:rsid w:val="000D7B51"/>
    <w:rsid w:val="00114969"/>
    <w:rsid w:val="00130D3B"/>
    <w:rsid w:val="00144D34"/>
    <w:rsid w:val="00151F30"/>
    <w:rsid w:val="00162CAC"/>
    <w:rsid w:val="0016552E"/>
    <w:rsid w:val="00182452"/>
    <w:rsid w:val="00185E5C"/>
    <w:rsid w:val="0019529F"/>
    <w:rsid w:val="0019566A"/>
    <w:rsid w:val="00197ACA"/>
    <w:rsid w:val="001A3FA6"/>
    <w:rsid w:val="001B2B56"/>
    <w:rsid w:val="001C3819"/>
    <w:rsid w:val="001C4048"/>
    <w:rsid w:val="001D536E"/>
    <w:rsid w:val="001E0BFC"/>
    <w:rsid w:val="00204E28"/>
    <w:rsid w:val="0023128C"/>
    <w:rsid w:val="0023494E"/>
    <w:rsid w:val="00262417"/>
    <w:rsid w:val="0026417D"/>
    <w:rsid w:val="002A2723"/>
    <w:rsid w:val="002A276D"/>
    <w:rsid w:val="002C7C68"/>
    <w:rsid w:val="00315BFE"/>
    <w:rsid w:val="003161CB"/>
    <w:rsid w:val="00316445"/>
    <w:rsid w:val="00323048"/>
    <w:rsid w:val="00325912"/>
    <w:rsid w:val="00356475"/>
    <w:rsid w:val="00362DB1"/>
    <w:rsid w:val="00365463"/>
    <w:rsid w:val="00366416"/>
    <w:rsid w:val="00372DAB"/>
    <w:rsid w:val="00380CA4"/>
    <w:rsid w:val="00382EEC"/>
    <w:rsid w:val="00393498"/>
    <w:rsid w:val="003B2F86"/>
    <w:rsid w:val="003D1035"/>
    <w:rsid w:val="003F11F5"/>
    <w:rsid w:val="00412497"/>
    <w:rsid w:val="00415A54"/>
    <w:rsid w:val="004477FF"/>
    <w:rsid w:val="0046154C"/>
    <w:rsid w:val="004662D8"/>
    <w:rsid w:val="0048209D"/>
    <w:rsid w:val="004939B6"/>
    <w:rsid w:val="004B2F36"/>
    <w:rsid w:val="004C58A4"/>
    <w:rsid w:val="004D03B1"/>
    <w:rsid w:val="004F21B7"/>
    <w:rsid w:val="004F53BC"/>
    <w:rsid w:val="00500B57"/>
    <w:rsid w:val="00530C4A"/>
    <w:rsid w:val="0053799E"/>
    <w:rsid w:val="005458E6"/>
    <w:rsid w:val="005974C6"/>
    <w:rsid w:val="005A302C"/>
    <w:rsid w:val="005B36A2"/>
    <w:rsid w:val="005E0F85"/>
    <w:rsid w:val="005E7215"/>
    <w:rsid w:val="006034D6"/>
    <w:rsid w:val="00605A49"/>
    <w:rsid w:val="00643645"/>
    <w:rsid w:val="00676C34"/>
    <w:rsid w:val="006B549A"/>
    <w:rsid w:val="006B5609"/>
    <w:rsid w:val="006B7536"/>
    <w:rsid w:val="006D4183"/>
    <w:rsid w:val="006E0564"/>
    <w:rsid w:val="006E237C"/>
    <w:rsid w:val="006E34DD"/>
    <w:rsid w:val="00701AAD"/>
    <w:rsid w:val="007063A8"/>
    <w:rsid w:val="00725C94"/>
    <w:rsid w:val="00725E25"/>
    <w:rsid w:val="00726BDA"/>
    <w:rsid w:val="0075096D"/>
    <w:rsid w:val="007732B1"/>
    <w:rsid w:val="00777F26"/>
    <w:rsid w:val="00795CFB"/>
    <w:rsid w:val="00797921"/>
    <w:rsid w:val="007A2F9F"/>
    <w:rsid w:val="007A7262"/>
    <w:rsid w:val="007B1EB3"/>
    <w:rsid w:val="007B72DD"/>
    <w:rsid w:val="007B7304"/>
    <w:rsid w:val="007C377A"/>
    <w:rsid w:val="007C3F6A"/>
    <w:rsid w:val="008026C1"/>
    <w:rsid w:val="008057DC"/>
    <w:rsid w:val="00826832"/>
    <w:rsid w:val="00832A64"/>
    <w:rsid w:val="00837DA2"/>
    <w:rsid w:val="008513FA"/>
    <w:rsid w:val="008769D8"/>
    <w:rsid w:val="00881A43"/>
    <w:rsid w:val="0088551D"/>
    <w:rsid w:val="008A2D98"/>
    <w:rsid w:val="008E3216"/>
    <w:rsid w:val="00903745"/>
    <w:rsid w:val="00943412"/>
    <w:rsid w:val="009A2EEE"/>
    <w:rsid w:val="009B60A2"/>
    <w:rsid w:val="00A15648"/>
    <w:rsid w:val="00A2254A"/>
    <w:rsid w:val="00A31653"/>
    <w:rsid w:val="00A37939"/>
    <w:rsid w:val="00A71BF9"/>
    <w:rsid w:val="00A82C8C"/>
    <w:rsid w:val="00AA6AC3"/>
    <w:rsid w:val="00AC2B2B"/>
    <w:rsid w:val="00AD7A76"/>
    <w:rsid w:val="00AE36EA"/>
    <w:rsid w:val="00B01688"/>
    <w:rsid w:val="00B2654B"/>
    <w:rsid w:val="00B3340B"/>
    <w:rsid w:val="00B334FE"/>
    <w:rsid w:val="00B4045E"/>
    <w:rsid w:val="00BA004A"/>
    <w:rsid w:val="00BA08A6"/>
    <w:rsid w:val="00BE2C53"/>
    <w:rsid w:val="00BE7F7D"/>
    <w:rsid w:val="00C010A1"/>
    <w:rsid w:val="00C21561"/>
    <w:rsid w:val="00C46305"/>
    <w:rsid w:val="00C70CF3"/>
    <w:rsid w:val="00C845E6"/>
    <w:rsid w:val="00C95728"/>
    <w:rsid w:val="00CA3D7B"/>
    <w:rsid w:val="00CA64B6"/>
    <w:rsid w:val="00CD784F"/>
    <w:rsid w:val="00D01DA5"/>
    <w:rsid w:val="00D052F1"/>
    <w:rsid w:val="00D161E4"/>
    <w:rsid w:val="00D715AE"/>
    <w:rsid w:val="00D72D58"/>
    <w:rsid w:val="00D80C0A"/>
    <w:rsid w:val="00D94312"/>
    <w:rsid w:val="00D95C9C"/>
    <w:rsid w:val="00D96F04"/>
    <w:rsid w:val="00DA5D24"/>
    <w:rsid w:val="00DB27CA"/>
    <w:rsid w:val="00DB3230"/>
    <w:rsid w:val="00DC70F5"/>
    <w:rsid w:val="00DE6E4C"/>
    <w:rsid w:val="00E10981"/>
    <w:rsid w:val="00E241F6"/>
    <w:rsid w:val="00E467CB"/>
    <w:rsid w:val="00E50762"/>
    <w:rsid w:val="00E716A4"/>
    <w:rsid w:val="00E84F88"/>
    <w:rsid w:val="00E8614F"/>
    <w:rsid w:val="00E93690"/>
    <w:rsid w:val="00EB1FE6"/>
    <w:rsid w:val="00EE6410"/>
    <w:rsid w:val="00F16DF0"/>
    <w:rsid w:val="00F21C41"/>
    <w:rsid w:val="00F2480A"/>
    <w:rsid w:val="00F54BDB"/>
    <w:rsid w:val="00FF0C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A92842-239E-41D7-9DDF-5C7EABA7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2417"/>
    <w:pPr>
      <w:keepLines/>
      <w:suppressAutoHyphens/>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881A43"/>
    <w:pPr>
      <w:keepNext/>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BE2C53"/>
    <w:pPr>
      <w:keepNext/>
      <w:spacing w:line="264" w:lineRule="auto"/>
      <w:ind w:left="-227" w:right="227"/>
      <w:jc w:val="center"/>
      <w:outlineLvl w:val="1"/>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E2C53"/>
    <w:rPr>
      <w:rFonts w:ascii="Times New Roman" w:eastAsia="Times New Roman" w:hAnsi="Times New Roman" w:cs="Times New Roman"/>
      <w:b/>
      <w:bCs/>
      <w:sz w:val="24"/>
      <w:szCs w:val="20"/>
      <w:lang w:eastAsia="ar-SA"/>
    </w:rPr>
  </w:style>
  <w:style w:type="paragraph" w:styleId="lfej">
    <w:name w:val="header"/>
    <w:basedOn w:val="Norml"/>
    <w:link w:val="lfejChar"/>
    <w:rsid w:val="00BE2C53"/>
    <w:pPr>
      <w:tabs>
        <w:tab w:val="center" w:pos="4536"/>
        <w:tab w:val="right" w:pos="9072"/>
      </w:tabs>
    </w:pPr>
    <w:rPr>
      <w:lang w:val="x-none"/>
    </w:rPr>
  </w:style>
  <w:style w:type="character" w:customStyle="1" w:styleId="lfejChar">
    <w:name w:val="Élőfej Char"/>
    <w:basedOn w:val="Bekezdsalapbettpusa"/>
    <w:link w:val="lfej"/>
    <w:rsid w:val="00BE2C53"/>
    <w:rPr>
      <w:rFonts w:ascii="Times New Roman" w:eastAsia="Times New Roman" w:hAnsi="Times New Roman" w:cs="Times New Roman"/>
      <w:sz w:val="24"/>
      <w:szCs w:val="20"/>
      <w:lang w:val="x-none" w:eastAsia="ar-SA"/>
    </w:rPr>
  </w:style>
  <w:style w:type="paragraph" w:styleId="Cm">
    <w:name w:val="Title"/>
    <w:basedOn w:val="Norml"/>
    <w:link w:val="CmChar"/>
    <w:qFormat/>
    <w:rsid w:val="00BE2C53"/>
    <w:pPr>
      <w:keepLines w:val="0"/>
      <w:suppressAutoHyphens w:val="0"/>
      <w:jc w:val="center"/>
    </w:pPr>
    <w:rPr>
      <w:b/>
      <w:bCs/>
      <w:sz w:val="26"/>
      <w:szCs w:val="24"/>
      <w:lang w:val="x-none" w:eastAsia="x-none"/>
    </w:rPr>
  </w:style>
  <w:style w:type="character" w:customStyle="1" w:styleId="CmChar">
    <w:name w:val="Cím Char"/>
    <w:basedOn w:val="Bekezdsalapbettpusa"/>
    <w:link w:val="Cm"/>
    <w:rsid w:val="00BE2C53"/>
    <w:rPr>
      <w:rFonts w:ascii="Times New Roman" w:eastAsia="Times New Roman" w:hAnsi="Times New Roman" w:cs="Times New Roman"/>
      <w:b/>
      <w:bCs/>
      <w:sz w:val="26"/>
      <w:szCs w:val="24"/>
      <w:lang w:val="x-none" w:eastAsia="x-none"/>
    </w:rPr>
  </w:style>
  <w:style w:type="paragraph" w:styleId="Listaszerbekezds">
    <w:name w:val="List Paragraph"/>
    <w:aliases w:val="Listaszerű bekezdés 1,Welt L,Színes lista – 1. jelölőszín1,lista_2"/>
    <w:basedOn w:val="Norml"/>
    <w:link w:val="ListaszerbekezdsChar"/>
    <w:uiPriority w:val="99"/>
    <w:qFormat/>
    <w:rsid w:val="00C845E6"/>
    <w:pPr>
      <w:keepLines w:val="0"/>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iperhivatkozs">
    <w:name w:val="Hyperlink"/>
    <w:basedOn w:val="Bekezdsalapbettpusa"/>
    <w:uiPriority w:val="99"/>
    <w:unhideWhenUsed/>
    <w:rsid w:val="00C845E6"/>
    <w:rPr>
      <w:color w:val="0563C1" w:themeColor="hyperlink"/>
      <w:u w:val="single"/>
    </w:rPr>
  </w:style>
  <w:style w:type="paragraph" w:customStyle="1" w:styleId="IIKVSZbek1normalszurke">
    <w:name w:val="II_KVSZ_(bek_1_normal)_szurke"/>
    <w:basedOn w:val="Norml"/>
    <w:link w:val="IIKVSZbek1normalszurkeChar"/>
    <w:qFormat/>
    <w:rsid w:val="00C845E6"/>
    <w:pPr>
      <w:keepLines w:val="0"/>
      <w:numPr>
        <w:numId w:val="5"/>
      </w:numPr>
      <w:shd w:val="clear" w:color="auto" w:fill="D9D9D9"/>
      <w:suppressAutoHyphens w:val="0"/>
      <w:spacing w:before="60"/>
    </w:pPr>
    <w:rPr>
      <w:sz w:val="20"/>
      <w:lang w:val="x-none" w:eastAsia="x-none"/>
    </w:rPr>
  </w:style>
  <w:style w:type="character" w:customStyle="1" w:styleId="IIKVSZbek1normalszurkeChar">
    <w:name w:val="II_KVSZ_(bek_1_normal)_szurke Char"/>
    <w:link w:val="IIKVSZbek1normalszurke"/>
    <w:rsid w:val="00C845E6"/>
    <w:rPr>
      <w:rFonts w:ascii="Times New Roman" w:eastAsia="Times New Roman" w:hAnsi="Times New Roman" w:cs="Times New Roman"/>
      <w:sz w:val="20"/>
      <w:szCs w:val="20"/>
      <w:shd w:val="clear" w:color="auto" w:fill="D9D9D9"/>
      <w:lang w:val="x-none" w:eastAsia="x-none"/>
    </w:rPr>
  </w:style>
  <w:style w:type="paragraph" w:customStyle="1" w:styleId="paragrafus">
    <w:name w:val="paragrafus"/>
    <w:basedOn w:val="Norml"/>
    <w:link w:val="paragrafusChar"/>
    <w:qFormat/>
    <w:rsid w:val="00C845E6"/>
    <w:pPr>
      <w:keepLines w:val="0"/>
      <w:numPr>
        <w:numId w:val="6"/>
      </w:numPr>
      <w:shd w:val="clear" w:color="auto" w:fill="FFFFFF"/>
      <w:suppressAutoHyphens w:val="0"/>
      <w:spacing w:before="60" w:line="276" w:lineRule="auto"/>
      <w:jc w:val="center"/>
    </w:pPr>
    <w:rPr>
      <w:rFonts w:ascii="TimesNewRomanPS-BoldMT" w:hAnsi="TimesNewRomanPS-BoldMT"/>
      <w:b/>
      <w:bCs/>
      <w:color w:val="FF0000"/>
      <w:szCs w:val="24"/>
      <w:lang w:val="x-none" w:eastAsia="x-none"/>
    </w:rPr>
  </w:style>
  <w:style w:type="character" w:customStyle="1" w:styleId="paragrafusChar">
    <w:name w:val="paragrafus Char"/>
    <w:link w:val="paragrafus"/>
    <w:rsid w:val="00C845E6"/>
    <w:rPr>
      <w:rFonts w:ascii="TimesNewRomanPS-BoldMT" w:eastAsia="Times New Roman" w:hAnsi="TimesNewRomanPS-BoldMT" w:cs="Times New Roman"/>
      <w:b/>
      <w:bCs/>
      <w:color w:val="FF0000"/>
      <w:sz w:val="24"/>
      <w:szCs w:val="24"/>
      <w:shd w:val="clear" w:color="auto" w:fill="FFFFFF"/>
      <w:lang w:val="x-none" w:eastAsia="x-none"/>
    </w:rPr>
  </w:style>
  <w:style w:type="table" w:styleId="Rcsostblzat">
    <w:name w:val="Table Grid"/>
    <w:basedOn w:val="Normltblzat"/>
    <w:uiPriority w:val="39"/>
    <w:rsid w:val="00C8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C377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377A"/>
    <w:rPr>
      <w:rFonts w:ascii="Segoe UI" w:eastAsia="Times New Roman" w:hAnsi="Segoe UI" w:cs="Segoe UI"/>
      <w:sz w:val="18"/>
      <w:szCs w:val="18"/>
      <w:lang w:eastAsia="ar-SA"/>
    </w:rPr>
  </w:style>
  <w:style w:type="paragraph" w:styleId="llb">
    <w:name w:val="footer"/>
    <w:basedOn w:val="Norml"/>
    <w:link w:val="llbChar"/>
    <w:uiPriority w:val="99"/>
    <w:rsid w:val="00DC70F5"/>
    <w:pPr>
      <w:keepLines w:val="0"/>
      <w:tabs>
        <w:tab w:val="center" w:pos="4536"/>
        <w:tab w:val="right" w:pos="9072"/>
      </w:tabs>
      <w:suppressAutoHyphens w:val="0"/>
      <w:jc w:val="left"/>
    </w:pPr>
    <w:rPr>
      <w:szCs w:val="24"/>
      <w:lang w:val="x-none" w:eastAsia="x-none"/>
    </w:rPr>
  </w:style>
  <w:style w:type="character" w:customStyle="1" w:styleId="llbChar">
    <w:name w:val="Élőláb Char"/>
    <w:basedOn w:val="Bekezdsalapbettpusa"/>
    <w:link w:val="llb"/>
    <w:uiPriority w:val="99"/>
    <w:rsid w:val="00DC70F5"/>
    <w:rPr>
      <w:rFonts w:ascii="Times New Roman" w:eastAsia="Times New Roman" w:hAnsi="Times New Roman" w:cs="Times New Roman"/>
      <w:sz w:val="24"/>
      <w:szCs w:val="24"/>
      <w:lang w:val="x-none" w:eastAsia="x-none"/>
    </w:rPr>
  </w:style>
  <w:style w:type="character" w:customStyle="1" w:styleId="Cmsor1Char">
    <w:name w:val="Címsor 1 Char"/>
    <w:basedOn w:val="Bekezdsalapbettpusa"/>
    <w:link w:val="Cmsor1"/>
    <w:uiPriority w:val="9"/>
    <w:rsid w:val="00881A43"/>
    <w:rPr>
      <w:rFonts w:asciiTheme="majorHAnsi" w:eastAsiaTheme="majorEastAsia" w:hAnsiTheme="majorHAnsi" w:cstheme="majorBidi"/>
      <w:color w:val="2E74B5" w:themeColor="accent1" w:themeShade="BF"/>
      <w:sz w:val="32"/>
      <w:szCs w:val="32"/>
      <w:lang w:eastAsia="ar-SA"/>
    </w:rPr>
  </w:style>
  <w:style w:type="paragraph" w:styleId="Szvegtrzs">
    <w:name w:val="Body Text"/>
    <w:basedOn w:val="Norml"/>
    <w:link w:val="SzvegtrzsChar"/>
    <w:rsid w:val="00881A43"/>
    <w:pPr>
      <w:keepLines w:val="0"/>
      <w:widowControl w:val="0"/>
      <w:spacing w:after="120"/>
      <w:jc w:val="left"/>
    </w:pPr>
    <w:rPr>
      <w:rFonts w:eastAsia="Arial Unicode MS"/>
      <w:szCs w:val="24"/>
    </w:rPr>
  </w:style>
  <w:style w:type="character" w:customStyle="1" w:styleId="SzvegtrzsChar">
    <w:name w:val="Szövegtörzs Char"/>
    <w:basedOn w:val="Bekezdsalapbettpusa"/>
    <w:link w:val="Szvegtrzs"/>
    <w:rsid w:val="00881A43"/>
    <w:rPr>
      <w:rFonts w:ascii="Times New Roman" w:eastAsia="Arial Unicode MS" w:hAnsi="Times New Roman" w:cs="Times New Roman"/>
      <w:sz w:val="24"/>
      <w:szCs w:val="24"/>
    </w:rPr>
  </w:style>
  <w:style w:type="character" w:styleId="Oldalszm">
    <w:name w:val="page number"/>
    <w:basedOn w:val="Bekezdsalapbettpusa"/>
    <w:rsid w:val="00881A43"/>
  </w:style>
  <w:style w:type="paragraph" w:styleId="NormlWeb">
    <w:name w:val="Normal (Web)"/>
    <w:basedOn w:val="Norml"/>
    <w:uiPriority w:val="99"/>
    <w:unhideWhenUsed/>
    <w:rsid w:val="00881A43"/>
    <w:pPr>
      <w:keepLines w:val="0"/>
      <w:suppressAutoHyphens w:val="0"/>
      <w:spacing w:before="100" w:beforeAutospacing="1" w:after="100" w:afterAutospacing="1"/>
      <w:jc w:val="left"/>
    </w:pPr>
    <w:rPr>
      <w:szCs w:val="24"/>
      <w:lang w:eastAsia="hu-HU"/>
    </w:rPr>
  </w:style>
  <w:style w:type="paragraph" w:styleId="Vltozat">
    <w:name w:val="Revision"/>
    <w:hidden/>
    <w:uiPriority w:val="99"/>
    <w:semiHidden/>
    <w:rsid w:val="00E10981"/>
    <w:pPr>
      <w:spacing w:after="0" w:line="240" w:lineRule="auto"/>
    </w:pPr>
    <w:rPr>
      <w:rFonts w:ascii="Times New Roman" w:eastAsia="Times New Roman" w:hAnsi="Times New Roman" w:cs="Times New Roman"/>
      <w:sz w:val="24"/>
      <w:szCs w:val="20"/>
      <w:lang w:eastAsia="ar-SA"/>
    </w:rPr>
  </w:style>
  <w:style w:type="paragraph" w:customStyle="1" w:styleId="trobekezdes">
    <w:name w:val="tro_bekezdes"/>
    <w:basedOn w:val="Norml"/>
    <w:rsid w:val="00393498"/>
    <w:pPr>
      <w:keepLines w:val="0"/>
      <w:suppressAutoHyphens w:val="0"/>
      <w:spacing w:after="120"/>
    </w:pPr>
    <w:rPr>
      <w:lang w:eastAsia="en-US"/>
    </w:rPr>
  </w:style>
  <w:style w:type="paragraph" w:customStyle="1" w:styleId="trobekezdes0">
    <w:name w:val="tro_bekezdes_0"/>
    <w:basedOn w:val="trobekezdes"/>
    <w:qFormat/>
    <w:rsid w:val="00393498"/>
    <w:pPr>
      <w:spacing w:after="0"/>
    </w:pPr>
  </w:style>
  <w:style w:type="paragraph" w:customStyle="1" w:styleId="tkvkbekezdes">
    <w:name w:val="tkvk_bekezdes"/>
    <w:basedOn w:val="Norml"/>
    <w:rsid w:val="00393498"/>
    <w:pPr>
      <w:keepLines w:val="0"/>
      <w:widowControl w:val="0"/>
      <w:tabs>
        <w:tab w:val="left" w:pos="709"/>
      </w:tabs>
      <w:spacing w:after="120"/>
    </w:pPr>
    <w:rPr>
      <w:rFonts w:eastAsia="Lucida Sans Unicode" w:cs="Mangal"/>
      <w:szCs w:val="24"/>
      <w:lang w:eastAsia="zh-CN" w:bidi="hi-IN"/>
    </w:rPr>
  </w:style>
  <w:style w:type="paragraph" w:customStyle="1" w:styleId="trobekezdes0K">
    <w:name w:val="tro_bekezdes_0K"/>
    <w:basedOn w:val="trobekezdes0"/>
    <w:qFormat/>
    <w:rsid w:val="00393498"/>
    <w:pPr>
      <w:jc w:val="center"/>
    </w:pPr>
  </w:style>
  <w:style w:type="character" w:styleId="Kiemels2">
    <w:name w:val="Strong"/>
    <w:basedOn w:val="Bekezdsalapbettpusa"/>
    <w:uiPriority w:val="22"/>
    <w:qFormat/>
    <w:rsid w:val="00393498"/>
    <w:rPr>
      <w:b/>
      <w:bCs/>
    </w:rPr>
  </w:style>
  <w:style w:type="paragraph" w:customStyle="1" w:styleId="R1para1">
    <w:name w:val="R 1. para (1)"/>
    <w:basedOn w:val="Listaszerbekezds"/>
    <w:next w:val="R2bekezdes"/>
    <w:qFormat/>
    <w:rsid w:val="007B72DD"/>
    <w:pPr>
      <w:numPr>
        <w:numId w:val="27"/>
      </w:numPr>
      <w:tabs>
        <w:tab w:val="left" w:pos="567"/>
      </w:tabs>
      <w:spacing w:before="120" w:after="0" w:line="276" w:lineRule="auto"/>
      <w:ind w:left="1134" w:hanging="1134"/>
      <w:contextualSpacing w:val="0"/>
      <w:jc w:val="both"/>
      <w:outlineLvl w:val="3"/>
    </w:pPr>
    <w:rPr>
      <w:rFonts w:ascii="Calibri" w:eastAsia="Calibri" w:hAnsi="Calibri" w:cs="Times New Roman"/>
      <w:sz w:val="18"/>
      <w:lang w:eastAsia="hu-HU"/>
    </w:rPr>
  </w:style>
  <w:style w:type="paragraph" w:customStyle="1" w:styleId="R2bekezdes">
    <w:name w:val="R 2. bekezdes"/>
    <w:basedOn w:val="R1para1"/>
    <w:next w:val="R3pont"/>
    <w:link w:val="R2bekezdesChar"/>
    <w:qFormat/>
    <w:rsid w:val="007B72DD"/>
    <w:pPr>
      <w:numPr>
        <w:ilvl w:val="1"/>
      </w:numPr>
      <w:tabs>
        <w:tab w:val="clear" w:pos="567"/>
        <w:tab w:val="num" w:pos="360"/>
      </w:tabs>
      <w:spacing w:line="240" w:lineRule="auto"/>
      <w:outlineLvl w:val="9"/>
    </w:pPr>
    <w:rPr>
      <w:rFonts w:cs="Calibri"/>
    </w:rPr>
  </w:style>
  <w:style w:type="paragraph" w:customStyle="1" w:styleId="R3pont">
    <w:name w:val="R 3. pont"/>
    <w:basedOn w:val="R1para1"/>
    <w:link w:val="R3pontChar"/>
    <w:qFormat/>
    <w:rsid w:val="007B72DD"/>
    <w:pPr>
      <w:numPr>
        <w:ilvl w:val="2"/>
      </w:numPr>
      <w:tabs>
        <w:tab w:val="clear" w:pos="567"/>
      </w:tabs>
      <w:spacing w:before="60" w:line="240" w:lineRule="auto"/>
      <w:outlineLvl w:val="9"/>
    </w:pPr>
  </w:style>
  <w:style w:type="paragraph" w:customStyle="1" w:styleId="R4alpont">
    <w:name w:val="R 4. alpont"/>
    <w:basedOn w:val="R1para1"/>
    <w:link w:val="R4alpontChar"/>
    <w:qFormat/>
    <w:rsid w:val="007B72DD"/>
    <w:pPr>
      <w:numPr>
        <w:ilvl w:val="3"/>
      </w:numPr>
      <w:tabs>
        <w:tab w:val="clear" w:pos="567"/>
      </w:tabs>
      <w:spacing w:before="60" w:line="240" w:lineRule="auto"/>
      <w:ind w:left="1984" w:hanging="360"/>
      <w:contextualSpacing/>
      <w:outlineLvl w:val="9"/>
    </w:pPr>
  </w:style>
  <w:style w:type="character" w:customStyle="1" w:styleId="ListaszerbekezdsChar">
    <w:name w:val="Listaszerű bekezdés Char"/>
    <w:aliases w:val="Listaszerű bekezdés 1 Char,Welt L Char,Színes lista – 1. jelölőszín1 Char,lista_2 Char"/>
    <w:link w:val="Listaszerbekezds"/>
    <w:uiPriority w:val="99"/>
    <w:rsid w:val="007B72DD"/>
  </w:style>
  <w:style w:type="character" w:customStyle="1" w:styleId="R3pontChar">
    <w:name w:val="R 3. pont Char"/>
    <w:link w:val="R3pont"/>
    <w:rsid w:val="007B72DD"/>
    <w:rPr>
      <w:rFonts w:ascii="Calibri" w:eastAsia="Calibri" w:hAnsi="Calibri" w:cs="Times New Roman"/>
      <w:sz w:val="18"/>
      <w:lang w:eastAsia="hu-HU"/>
    </w:rPr>
  </w:style>
  <w:style w:type="character" w:customStyle="1" w:styleId="R4alpontChar">
    <w:name w:val="R 4. alpont Char"/>
    <w:link w:val="R4alpont"/>
    <w:rsid w:val="007B72DD"/>
    <w:rPr>
      <w:rFonts w:ascii="Calibri" w:eastAsia="Calibri" w:hAnsi="Calibri" w:cs="Times New Roman"/>
      <w:sz w:val="18"/>
      <w:lang w:eastAsia="hu-HU"/>
    </w:rPr>
  </w:style>
  <w:style w:type="character" w:customStyle="1" w:styleId="R2bekezdesChar">
    <w:name w:val="R 2. bekezdes Char"/>
    <w:link w:val="R2bekezdes"/>
    <w:rsid w:val="00BE7F7D"/>
    <w:rPr>
      <w:rFonts w:ascii="Calibri" w:eastAsia="Calibri" w:hAnsi="Calibri" w:cs="Calibri"/>
      <w:sz w:val="18"/>
      <w:lang w:eastAsia="hu-HU"/>
    </w:rPr>
  </w:style>
  <w:style w:type="paragraph" w:customStyle="1" w:styleId="TKR">
    <w:name w:val="§ TKR"/>
    <w:basedOn w:val="Norml"/>
    <w:next w:val="bekTKR"/>
    <w:link w:val="TKRChar"/>
    <w:autoRedefine/>
    <w:qFormat/>
    <w:rsid w:val="00BE7F7D"/>
    <w:pPr>
      <w:keepNext/>
      <w:keepLines w:val="0"/>
      <w:numPr>
        <w:ilvl w:val="1"/>
        <w:numId w:val="30"/>
      </w:numPr>
      <w:shd w:val="clear" w:color="auto" w:fill="E2EFD9" w:themeFill="accent6" w:themeFillTint="33"/>
      <w:suppressAutoHyphens w:val="0"/>
      <w:spacing w:before="120"/>
      <w:jc w:val="center"/>
      <w:outlineLvl w:val="3"/>
    </w:pPr>
    <w:rPr>
      <w:b/>
      <w:szCs w:val="24"/>
      <w:lang w:eastAsia="hu-HU"/>
    </w:rPr>
  </w:style>
  <w:style w:type="paragraph" w:customStyle="1" w:styleId="bekTKR">
    <w:name w:val="bek. TKR"/>
    <w:basedOn w:val="Norml"/>
    <w:link w:val="bekTKRChar"/>
    <w:qFormat/>
    <w:rsid w:val="00BE7F7D"/>
    <w:pPr>
      <w:keepLines w:val="0"/>
      <w:numPr>
        <w:numId w:val="32"/>
      </w:numPr>
      <w:suppressLineNumbers/>
      <w:spacing w:before="60"/>
      <w:outlineLvl w:val="4"/>
    </w:pPr>
    <w:rPr>
      <w:rFonts w:eastAsia="Calibri"/>
      <w:lang w:eastAsia="en-US"/>
    </w:rPr>
  </w:style>
  <w:style w:type="character" w:customStyle="1" w:styleId="TKRChar">
    <w:name w:val="§ TKR Char"/>
    <w:basedOn w:val="Bekezdsalapbettpusa"/>
    <w:link w:val="TKR"/>
    <w:rsid w:val="00BE7F7D"/>
    <w:rPr>
      <w:rFonts w:ascii="Times New Roman" w:eastAsia="Times New Roman" w:hAnsi="Times New Roman" w:cs="Times New Roman"/>
      <w:b/>
      <w:sz w:val="24"/>
      <w:szCs w:val="24"/>
      <w:shd w:val="clear" w:color="auto" w:fill="E2EFD9" w:themeFill="accent6" w:themeFillTint="33"/>
      <w:lang w:eastAsia="hu-HU"/>
    </w:rPr>
  </w:style>
  <w:style w:type="character" w:customStyle="1" w:styleId="bekTKRChar">
    <w:name w:val="bek. TKR Char"/>
    <w:basedOn w:val="Bekezdsalapbettpusa"/>
    <w:link w:val="bekTKR"/>
    <w:rsid w:val="00BE7F7D"/>
    <w:rPr>
      <w:rFonts w:ascii="Times New Roman" w:eastAsia="Calibri" w:hAnsi="Times New Roman" w:cs="Times New Roman"/>
      <w:sz w:val="24"/>
      <w:szCs w:val="20"/>
    </w:rPr>
  </w:style>
  <w:style w:type="paragraph" w:customStyle="1" w:styleId="Q2szintszamnelkul">
    <w:name w:val="Q 2. szint &gt;&gt;&gt; szamnelkul"/>
    <w:basedOn w:val="Norml"/>
    <w:link w:val="Q2szintszamnelkulChar"/>
    <w:qFormat/>
    <w:rsid w:val="00BE7F7D"/>
    <w:pPr>
      <w:keepLines w:val="0"/>
      <w:suppressAutoHyphens w:val="0"/>
      <w:spacing w:before="60"/>
      <w:ind w:left="567"/>
    </w:pPr>
    <w:rPr>
      <w:rFonts w:ascii="Calibri" w:eastAsia="Calibri" w:hAnsi="Calibri"/>
      <w:sz w:val="18"/>
      <w:szCs w:val="18"/>
      <w:lang w:eastAsia="en-US"/>
    </w:rPr>
  </w:style>
  <w:style w:type="character" w:customStyle="1" w:styleId="Q2szintszamnelkulChar">
    <w:name w:val="Q 2. szint &gt;&gt;&gt; szamnelkul Char"/>
    <w:link w:val="Q2szintszamnelkul"/>
    <w:rsid w:val="00BE7F7D"/>
    <w:rPr>
      <w:rFonts w:ascii="Calibri" w:eastAsia="Calibri" w:hAnsi="Calibri" w:cs="Times New Roman"/>
      <w:sz w:val="18"/>
      <w:szCs w:val="18"/>
    </w:rPr>
  </w:style>
  <w:style w:type="paragraph" w:customStyle="1" w:styleId="RKieg1szint">
    <w:name w:val="R Kieg 1. szint"/>
    <w:basedOn w:val="Listaszerbekezds"/>
    <w:qFormat/>
    <w:rsid w:val="00BE7F7D"/>
    <w:pPr>
      <w:suppressAutoHyphens/>
      <w:spacing w:before="360" w:after="120" w:line="240" w:lineRule="auto"/>
      <w:ind w:left="0"/>
      <w:contextualSpacing w:val="0"/>
      <w:jc w:val="both"/>
    </w:pPr>
    <w:rPr>
      <w:rFonts w:ascii="Calibri" w:eastAsia="Calibri" w:hAnsi="Calibri" w:cs="Times New Roman"/>
      <w:b/>
      <w:sz w:val="18"/>
      <w:lang w:eastAsia="ar-SA"/>
    </w:rPr>
  </w:style>
  <w:style w:type="numbering" w:customStyle="1" w:styleId="Jogszabaly">
    <w:name w:val="Jogszabaly"/>
    <w:rsid w:val="00325912"/>
    <w:pPr>
      <w:numPr>
        <w:numId w:val="38"/>
      </w:numPr>
    </w:pPr>
  </w:style>
  <w:style w:type="paragraph" w:customStyle="1" w:styleId="R1szint">
    <w:name w:val="R 1 szint"/>
    <w:basedOn w:val="Listaszerbekezds"/>
    <w:qFormat/>
    <w:rsid w:val="00325912"/>
    <w:pPr>
      <w:numPr>
        <w:numId w:val="39"/>
      </w:numPr>
      <w:tabs>
        <w:tab w:val="num" w:pos="850"/>
      </w:tabs>
      <w:spacing w:before="240" w:after="0" w:line="240" w:lineRule="auto"/>
      <w:ind w:left="-28" w:right="-113" w:firstLine="0"/>
      <w:contextualSpacing w:val="0"/>
      <w:jc w:val="right"/>
    </w:pPr>
    <w:rPr>
      <w:rFonts w:ascii="Calibri" w:eastAsia="Calibri" w:hAnsi="Calibri" w:cs="Calibri"/>
      <w:b/>
      <w:sz w:val="18"/>
      <w:szCs w:val="18"/>
    </w:rPr>
  </w:style>
  <w:style w:type="paragraph" w:customStyle="1" w:styleId="Rendelet2szint">
    <w:name w:val="Rendelet 2 szint"/>
    <w:basedOn w:val="Norml"/>
    <w:next w:val="Norml"/>
    <w:rsid w:val="00325912"/>
    <w:pPr>
      <w:keepLines w:val="0"/>
      <w:numPr>
        <w:ilvl w:val="1"/>
        <w:numId w:val="39"/>
      </w:numPr>
      <w:suppressAutoHyphens w:val="0"/>
      <w:spacing w:before="240"/>
      <w:ind w:left="567"/>
    </w:pPr>
    <w:rPr>
      <w:rFonts w:ascii="Calibri" w:eastAsia="Calibri" w:hAnsi="Calibri"/>
      <w:sz w:val="18"/>
      <w:szCs w:val="18"/>
      <w:lang w:eastAsia="en-US"/>
    </w:rPr>
  </w:style>
  <w:style w:type="paragraph" w:customStyle="1" w:styleId="R3szint">
    <w:name w:val="R 3. szint"/>
    <w:basedOn w:val="Rendelet2szint"/>
    <w:qFormat/>
    <w:rsid w:val="00325912"/>
    <w:pPr>
      <w:numPr>
        <w:ilvl w:val="2"/>
      </w:numPr>
      <w:tabs>
        <w:tab w:val="left" w:pos="851"/>
      </w:tabs>
      <w:spacing w:before="60"/>
      <w:ind w:left="851" w:hanging="284"/>
    </w:pPr>
  </w:style>
  <w:style w:type="paragraph" w:customStyle="1" w:styleId="R4szint">
    <w:name w:val="R 4. szint"/>
    <w:basedOn w:val="R3szint"/>
    <w:qFormat/>
    <w:rsid w:val="00325912"/>
    <w:pPr>
      <w:numPr>
        <w:ilvl w:val="3"/>
      </w:numPr>
      <w:ind w:left="1276" w:hanging="425"/>
      <w:contextualSpacing/>
    </w:pPr>
  </w:style>
  <w:style w:type="paragraph" w:customStyle="1" w:styleId="R10MAGYARAZAT">
    <w:name w:val="R_10_MAGYARAZAT"/>
    <w:basedOn w:val="Norml"/>
    <w:link w:val="R10MAGYARAZATChar"/>
    <w:qFormat/>
    <w:rsid w:val="00325912"/>
    <w:pPr>
      <w:keepLines w:val="0"/>
      <w:pBdr>
        <w:left w:val="single" w:sz="36" w:space="4" w:color="auto"/>
      </w:pBdr>
      <w:suppressAutoHyphens w:val="0"/>
      <w:ind w:left="1831"/>
      <w:jc w:val="left"/>
    </w:pPr>
    <w:rPr>
      <w:rFonts w:ascii="Calibri" w:hAnsi="Calibri"/>
      <w:sz w:val="16"/>
      <w:szCs w:val="16"/>
      <w:lang w:eastAsia="hu-HU"/>
    </w:rPr>
  </w:style>
  <w:style w:type="character" w:customStyle="1" w:styleId="R10MAGYARAZATChar">
    <w:name w:val="R_10_MAGYARAZAT Char"/>
    <w:link w:val="R10MAGYARAZAT"/>
    <w:rsid w:val="00325912"/>
    <w:rPr>
      <w:rFonts w:ascii="Calibri" w:eastAsia="Times New Roman" w:hAnsi="Calibri" w:cs="Times New Roman"/>
      <w:sz w:val="16"/>
      <w:szCs w:val="16"/>
      <w:lang w:eastAsia="hu-HU"/>
    </w:rPr>
  </w:style>
  <w:style w:type="character" w:styleId="Jegyzethivatkozs">
    <w:name w:val="annotation reference"/>
    <w:basedOn w:val="Bekezdsalapbettpusa"/>
    <w:uiPriority w:val="99"/>
    <w:semiHidden/>
    <w:unhideWhenUsed/>
    <w:rsid w:val="007B1EB3"/>
    <w:rPr>
      <w:sz w:val="16"/>
      <w:szCs w:val="16"/>
    </w:rPr>
  </w:style>
  <w:style w:type="paragraph" w:styleId="Jegyzetszveg">
    <w:name w:val="annotation text"/>
    <w:basedOn w:val="Norml"/>
    <w:link w:val="JegyzetszvegChar"/>
    <w:uiPriority w:val="99"/>
    <w:semiHidden/>
    <w:unhideWhenUsed/>
    <w:rsid w:val="007B1EB3"/>
    <w:rPr>
      <w:sz w:val="20"/>
    </w:rPr>
  </w:style>
  <w:style w:type="character" w:customStyle="1" w:styleId="JegyzetszvegChar">
    <w:name w:val="Jegyzetszöveg Char"/>
    <w:basedOn w:val="Bekezdsalapbettpusa"/>
    <w:link w:val="Jegyzetszveg"/>
    <w:uiPriority w:val="99"/>
    <w:semiHidden/>
    <w:rsid w:val="007B1EB3"/>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7B1EB3"/>
    <w:rPr>
      <w:b/>
      <w:bCs/>
    </w:rPr>
  </w:style>
  <w:style w:type="character" w:customStyle="1" w:styleId="MegjegyzstrgyaChar">
    <w:name w:val="Megjegyzés tárgya Char"/>
    <w:basedOn w:val="JegyzetszvegChar"/>
    <w:link w:val="Megjegyzstrgya"/>
    <w:uiPriority w:val="99"/>
    <w:semiHidden/>
    <w:rsid w:val="007B1EB3"/>
    <w:rPr>
      <w:rFonts w:ascii="Times New Roman" w:eastAsia="Times New Roman" w:hAnsi="Times New Roman" w:cs="Times New Roman"/>
      <w:b/>
      <w:bCs/>
      <w:sz w:val="20"/>
      <w:szCs w:val="20"/>
      <w:lang w:eastAsia="ar-SA"/>
    </w:rPr>
  </w:style>
  <w:style w:type="character" w:styleId="Lbjegyzet-hivatkozs">
    <w:name w:val="footnote reference"/>
    <w:autoRedefine/>
    <w:rsid w:val="001A3FA6"/>
    <w:rPr>
      <w:vertAlign w:val="superscript"/>
    </w:rPr>
  </w:style>
  <w:style w:type="paragraph" w:styleId="Lbjegyzetszveg">
    <w:name w:val="footnote text"/>
    <w:basedOn w:val="Norml"/>
    <w:link w:val="LbjegyzetszvegChar"/>
    <w:autoRedefine/>
    <w:rsid w:val="001A3FA6"/>
    <w:pPr>
      <w:keepLines w:val="0"/>
      <w:suppressAutoHyphens w:val="0"/>
    </w:pPr>
    <w:rPr>
      <w:snapToGrid w:val="0"/>
      <w:sz w:val="16"/>
      <w:szCs w:val="16"/>
      <w:lang w:eastAsia="hu-HU"/>
    </w:rPr>
  </w:style>
  <w:style w:type="character" w:customStyle="1" w:styleId="LbjegyzetszvegChar">
    <w:name w:val="Lábjegyzetszöveg Char"/>
    <w:basedOn w:val="Bekezdsalapbettpusa"/>
    <w:link w:val="Lbjegyzetszveg"/>
    <w:rsid w:val="001A3FA6"/>
    <w:rPr>
      <w:rFonts w:ascii="Times New Roman" w:eastAsia="Times New Roman" w:hAnsi="Times New Roman" w:cs="Times New Roman"/>
      <w:snapToGrid w:val="0"/>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5DEE-3B3E-4F6B-9D55-0245E7EC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2471</Words>
  <Characters>17051</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Pálffy-Károly Veronika</dc:creator>
  <cp:keywords/>
  <dc:description/>
  <cp:lastModifiedBy>Silye Tamás</cp:lastModifiedBy>
  <cp:revision>28</cp:revision>
  <cp:lastPrinted>2021-05-17T10:55:00Z</cp:lastPrinted>
  <dcterms:created xsi:type="dcterms:W3CDTF">2021-05-13T12:50:00Z</dcterms:created>
  <dcterms:modified xsi:type="dcterms:W3CDTF">2021-05-20T07:35:00Z</dcterms:modified>
</cp:coreProperties>
</file>