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15D11" w14:textId="77777777" w:rsidR="000C42FB" w:rsidRPr="00485B15" w:rsidRDefault="000C42FB" w:rsidP="000C42FB">
      <w:pPr>
        <w:jc w:val="right"/>
        <w:rPr>
          <w:b/>
          <w:u w:val="single"/>
        </w:rPr>
      </w:pPr>
      <w:r w:rsidRPr="00485B15">
        <w:rPr>
          <w:b/>
          <w:bCs/>
        </w:rPr>
        <w:t>3. sz. melléklet</w:t>
      </w:r>
    </w:p>
    <w:p w14:paraId="5F2C3442" w14:textId="77777777" w:rsidR="000C42FB" w:rsidRPr="00485B15" w:rsidRDefault="000C42FB" w:rsidP="000C42FB">
      <w:pPr>
        <w:jc w:val="both"/>
        <w:rPr>
          <w:u w:val="single"/>
        </w:rPr>
      </w:pPr>
      <w:r w:rsidRPr="00485B15">
        <w:rPr>
          <w:b/>
          <w:u w:val="single"/>
        </w:rPr>
        <w:t>Pénzügyi és Vagyonnyilatkozatokat Ellenőrző Bizottság (P</w:t>
      </w:r>
      <w:r w:rsidR="00485B15" w:rsidRPr="00485B15">
        <w:rPr>
          <w:b/>
          <w:u w:val="single"/>
        </w:rPr>
        <w:t>V</w:t>
      </w:r>
      <w:r w:rsidRPr="00485B15">
        <w:rPr>
          <w:b/>
          <w:u w:val="single"/>
        </w:rPr>
        <w:t>B)</w:t>
      </w:r>
    </w:p>
    <w:p w14:paraId="3DDDB513" w14:textId="77777777" w:rsidR="000C42FB" w:rsidRPr="00485B15" w:rsidRDefault="000C42FB" w:rsidP="000C42FB">
      <w:pPr>
        <w:jc w:val="both"/>
        <w:rPr>
          <w:u w:val="single"/>
        </w:rPr>
      </w:pPr>
    </w:p>
    <w:p w14:paraId="7D785F5C" w14:textId="77777777" w:rsidR="000C42FB" w:rsidRPr="00485B15" w:rsidRDefault="00823DF7" w:rsidP="000C42FB">
      <w:pPr>
        <w:jc w:val="both"/>
      </w:pPr>
      <w:r>
        <w:t>1.</w:t>
      </w:r>
      <w:r w:rsidR="000C42FB" w:rsidRPr="00485B15">
        <w:t xml:space="preserve"> Pénzügyi és Vagyonnyilatkozatokat Ellenőrző Bizottság</w:t>
      </w:r>
      <w:r w:rsidR="000C42FB" w:rsidRPr="00485B15">
        <w:rPr>
          <w:b/>
        </w:rPr>
        <w:t xml:space="preserve"> </w:t>
      </w:r>
      <w:r w:rsidR="000C42FB" w:rsidRPr="00485B15">
        <w:t>dönt:</w:t>
      </w:r>
    </w:p>
    <w:p w14:paraId="0DEF34E0" w14:textId="77777777" w:rsidR="000C42FB" w:rsidRPr="00485B15" w:rsidRDefault="00823DF7" w:rsidP="000C42FB">
      <w:pPr>
        <w:ind w:left="1418" w:hanging="851"/>
        <w:jc w:val="both"/>
      </w:pPr>
      <w:r>
        <w:t>1.1.</w:t>
      </w:r>
      <w:r w:rsidR="000C42FB" w:rsidRPr="00485B15">
        <w:tab/>
        <w:t>az önkormányzat intézményei és a Polgármesteri Hivatal gazdálkodását ellenőrző vizsgálat megindításáról, javaslatot téve a vizsgálat főbb</w:t>
      </w:r>
      <w:r>
        <w:t xml:space="preserve"> szempontjaira;</w:t>
      </w:r>
    </w:p>
    <w:p w14:paraId="2CCC30F2" w14:textId="77777777" w:rsidR="000C42FB" w:rsidRPr="00485B15" w:rsidRDefault="000C42FB" w:rsidP="000C42FB">
      <w:pPr>
        <w:ind w:left="567"/>
        <w:jc w:val="both"/>
      </w:pPr>
      <w:r w:rsidRPr="00485B15">
        <w:t>1.2</w:t>
      </w:r>
      <w:r w:rsidR="00823DF7">
        <w:t>.</w:t>
      </w:r>
      <w:r w:rsidRPr="00485B15">
        <w:tab/>
      </w:r>
      <w:r w:rsidRPr="00823DF7">
        <w:t>nemzetiségi ö</w:t>
      </w:r>
      <w:r w:rsidRPr="00485B15">
        <w:t>nkormányzatok pénzüg</w:t>
      </w:r>
      <w:r w:rsidR="00823DF7">
        <w:t>yi hozzájárulásának mértékéről;</w:t>
      </w:r>
    </w:p>
    <w:p w14:paraId="307E76E7" w14:textId="4C2F94C2" w:rsidR="000C42FB" w:rsidRPr="00485B15" w:rsidRDefault="000C42FB" w:rsidP="000C42FB">
      <w:pPr>
        <w:ind w:left="1418" w:hanging="851"/>
        <w:jc w:val="both"/>
      </w:pPr>
      <w:bookmarkStart w:id="0" w:name="_GoBack"/>
      <w:bookmarkEnd w:id="0"/>
    </w:p>
    <w:p w14:paraId="7EA43E3A" w14:textId="77777777" w:rsidR="000C42FB" w:rsidRPr="00485B15" w:rsidRDefault="000C42FB" w:rsidP="000C42FB">
      <w:pPr>
        <w:tabs>
          <w:tab w:val="num" w:pos="1440"/>
        </w:tabs>
        <w:ind w:left="1440" w:hanging="900"/>
        <w:jc w:val="both"/>
      </w:pPr>
    </w:p>
    <w:p w14:paraId="7DF42DC1" w14:textId="77777777" w:rsidR="000C42FB" w:rsidRPr="00485B15" w:rsidRDefault="000C42FB" w:rsidP="000C42FB">
      <w:pPr>
        <w:jc w:val="both"/>
        <w:rPr>
          <w:b/>
          <w:i/>
        </w:rPr>
      </w:pPr>
      <w:r w:rsidRPr="00485B15">
        <w:t>2</w:t>
      </w:r>
      <w:r w:rsidR="00823DF7">
        <w:t xml:space="preserve">. </w:t>
      </w:r>
      <w:r w:rsidRPr="00485B15">
        <w:t>A Pénzügyi és Vagyonnyilatkozatokat Ellenőrző Bizottság véleményezi:</w:t>
      </w:r>
    </w:p>
    <w:p w14:paraId="1B8C3A87" w14:textId="77777777" w:rsidR="000C42FB" w:rsidRPr="00485B15" w:rsidRDefault="000C42FB" w:rsidP="000C42FB">
      <w:pPr>
        <w:ind w:left="567"/>
        <w:jc w:val="both"/>
      </w:pPr>
      <w:r w:rsidRPr="00485B15">
        <w:t>2.1</w:t>
      </w:r>
      <w:r w:rsidR="00823DF7">
        <w:t>.</w:t>
      </w:r>
      <w:r w:rsidRPr="00485B15">
        <w:tab/>
        <w:t>a költségvetési koncepciót;</w:t>
      </w:r>
    </w:p>
    <w:p w14:paraId="6DAE18CB" w14:textId="77777777" w:rsidR="000C42FB" w:rsidRPr="00485B15" w:rsidRDefault="00823DF7" w:rsidP="000C42FB">
      <w:pPr>
        <w:ind w:left="567"/>
        <w:jc w:val="both"/>
      </w:pPr>
      <w:r>
        <w:t>2.2.</w:t>
      </w:r>
      <w:r w:rsidR="000C42FB" w:rsidRPr="00485B15">
        <w:tab/>
        <w:t>a költségvetés összeállítását;</w:t>
      </w:r>
    </w:p>
    <w:p w14:paraId="4AFA1616" w14:textId="77777777" w:rsidR="000C42FB" w:rsidRPr="00485B15" w:rsidRDefault="00823DF7" w:rsidP="000C42FB">
      <w:pPr>
        <w:ind w:left="567"/>
        <w:jc w:val="both"/>
      </w:pPr>
      <w:r>
        <w:t>2.3.</w:t>
      </w:r>
      <w:r w:rsidR="000C42FB" w:rsidRPr="00485B15">
        <w:tab/>
        <w:t>a költségvetés módosításait;</w:t>
      </w:r>
    </w:p>
    <w:p w14:paraId="772E2B05" w14:textId="77777777" w:rsidR="000C42FB" w:rsidRPr="00485B15" w:rsidRDefault="00823DF7" w:rsidP="000C42FB">
      <w:pPr>
        <w:pStyle w:val="Szveg"/>
        <w:overflowPunct/>
        <w:autoSpaceDE/>
        <w:adjustRightInd/>
        <w:ind w:left="567"/>
        <w:rPr>
          <w:sz w:val="24"/>
          <w:szCs w:val="24"/>
        </w:rPr>
      </w:pPr>
      <w:r>
        <w:rPr>
          <w:sz w:val="24"/>
          <w:szCs w:val="24"/>
        </w:rPr>
        <w:t>2.4.</w:t>
      </w:r>
      <w:r w:rsidR="000C42FB" w:rsidRPr="00485B15">
        <w:rPr>
          <w:sz w:val="24"/>
          <w:szCs w:val="24"/>
        </w:rPr>
        <w:tab/>
      </w:r>
      <w:r w:rsidR="000C42FB" w:rsidRPr="00485B15">
        <w:rPr>
          <w:rStyle w:val="Kiemels2"/>
          <w:b w:val="0"/>
          <w:sz w:val="24"/>
          <w:szCs w:val="24"/>
        </w:rPr>
        <w:t>a</w:t>
      </w:r>
      <w:r>
        <w:rPr>
          <w:rStyle w:val="Kiemels2"/>
          <w:b w:val="0"/>
          <w:sz w:val="24"/>
          <w:szCs w:val="24"/>
        </w:rPr>
        <w:t>z éves</w:t>
      </w:r>
      <w:r w:rsidR="000C42FB" w:rsidRPr="00485B15">
        <w:rPr>
          <w:rStyle w:val="Kiemels2"/>
          <w:b w:val="0"/>
          <w:sz w:val="24"/>
          <w:szCs w:val="24"/>
        </w:rPr>
        <w:t xml:space="preserve"> belső ellenőrzés</w:t>
      </w:r>
      <w:r>
        <w:rPr>
          <w:rStyle w:val="Kiemels2"/>
          <w:b w:val="0"/>
          <w:sz w:val="24"/>
          <w:szCs w:val="24"/>
        </w:rPr>
        <w:t>i tervet és az éves belső ellenőrzési jelentést;</w:t>
      </w:r>
    </w:p>
    <w:p w14:paraId="413567A3" w14:textId="77777777" w:rsidR="000C42FB" w:rsidRPr="00485B15" w:rsidRDefault="00823DF7" w:rsidP="00823DF7">
      <w:pPr>
        <w:ind w:left="567"/>
        <w:jc w:val="both"/>
      </w:pPr>
      <w:r>
        <w:t>2.5.</w:t>
      </w:r>
      <w:r>
        <w:tab/>
      </w:r>
      <w:r w:rsidR="000C42FB" w:rsidRPr="00485B15">
        <w:t>az önkormányzat gazdasági programját</w:t>
      </w:r>
      <w:r w:rsidR="00444FA1">
        <w:t>.</w:t>
      </w:r>
    </w:p>
    <w:p w14:paraId="38D5A5C4" w14:textId="77777777" w:rsidR="000C42FB" w:rsidRPr="00485B15" w:rsidRDefault="000C42FB" w:rsidP="000C42FB">
      <w:pPr>
        <w:jc w:val="both"/>
      </w:pPr>
    </w:p>
    <w:p w14:paraId="774529F7" w14:textId="77777777" w:rsidR="000C42FB" w:rsidRPr="00485B15" w:rsidRDefault="000C42FB" w:rsidP="000C42FB">
      <w:pPr>
        <w:jc w:val="both"/>
        <w:rPr>
          <w:b/>
          <w:i/>
        </w:rPr>
      </w:pPr>
      <w:r w:rsidRPr="00485B15">
        <w:t>3</w:t>
      </w:r>
      <w:r w:rsidR="00823DF7">
        <w:t>.</w:t>
      </w:r>
      <w:r w:rsidRPr="00485B15">
        <w:t xml:space="preserve"> A Pénzügyi és Vagyonnyilatkozatokat Ellenőrző Bizottság ellenőrzi:</w:t>
      </w:r>
    </w:p>
    <w:p w14:paraId="3367D9CC" w14:textId="77777777" w:rsidR="000C42FB" w:rsidRPr="00485B15" w:rsidRDefault="00823DF7" w:rsidP="000C42FB">
      <w:pPr>
        <w:ind w:left="1418" w:hanging="851"/>
        <w:jc w:val="both"/>
      </w:pPr>
      <w:r>
        <w:t>3.1.</w:t>
      </w:r>
      <w:r w:rsidR="000C42FB" w:rsidRPr="00485B15">
        <w:tab/>
        <w:t>pénzügyi szempontból az önkormányzati beruházások, fejlesztések, szerződések és a költségvetés teljesítésének, végrehajtásának és pénzügyi rendezésének összhangját, valamint az önkormányzat által végrehajtott hitelfelvételhez kapcsolódó műveleteket</w:t>
      </w:r>
      <w:r>
        <w:t>;</w:t>
      </w:r>
    </w:p>
    <w:p w14:paraId="321B44B2" w14:textId="77777777" w:rsidR="000C42FB" w:rsidRPr="00485B15" w:rsidRDefault="000C42FB" w:rsidP="000C42FB">
      <w:pPr>
        <w:ind w:left="567"/>
        <w:jc w:val="both"/>
      </w:pPr>
      <w:r w:rsidRPr="00485B15">
        <w:t>3.2</w:t>
      </w:r>
      <w:r w:rsidR="00823DF7">
        <w:t>.</w:t>
      </w:r>
      <w:r w:rsidRPr="00485B15">
        <w:tab/>
        <w:t>a féléves és éves beszámolókat;</w:t>
      </w:r>
    </w:p>
    <w:p w14:paraId="5B27357B" w14:textId="77777777" w:rsidR="000C42FB" w:rsidRPr="00485B15" w:rsidRDefault="00823DF7" w:rsidP="000C42FB">
      <w:pPr>
        <w:pStyle w:val="Szveg"/>
        <w:overflowPunct/>
        <w:autoSpaceDE/>
        <w:adjustRightInd/>
        <w:ind w:left="567"/>
        <w:rPr>
          <w:b/>
          <w:sz w:val="24"/>
          <w:szCs w:val="24"/>
        </w:rPr>
      </w:pPr>
      <w:r>
        <w:rPr>
          <w:sz w:val="24"/>
          <w:szCs w:val="24"/>
        </w:rPr>
        <w:t>3.3.</w:t>
      </w:r>
      <w:r w:rsidR="000C42FB" w:rsidRPr="00485B15">
        <w:rPr>
          <w:sz w:val="24"/>
          <w:szCs w:val="24"/>
        </w:rPr>
        <w:tab/>
        <w:t>az önkormányzat vagyonának felmérését;</w:t>
      </w:r>
    </w:p>
    <w:p w14:paraId="0A3BA134" w14:textId="77777777" w:rsidR="000C42FB" w:rsidRPr="00485B15" w:rsidRDefault="00823DF7" w:rsidP="000C42FB">
      <w:pPr>
        <w:ind w:left="1418" w:hanging="851"/>
        <w:jc w:val="both"/>
      </w:pPr>
      <w:r>
        <w:t xml:space="preserve">3.4. </w:t>
      </w:r>
      <w:r w:rsidR="000C42FB" w:rsidRPr="00485B15">
        <w:tab/>
        <w:t>a Bizottság által jóváhagyott támogatások esetén az elszámolási kötelezettség teljesítését, az elszámolások szakszerűségét.</w:t>
      </w:r>
    </w:p>
    <w:p w14:paraId="2CA4027C" w14:textId="77777777" w:rsidR="000C42FB" w:rsidRPr="00485B15" w:rsidRDefault="000C42FB" w:rsidP="000C42FB">
      <w:pPr>
        <w:ind w:left="1418" w:hanging="851"/>
        <w:jc w:val="both"/>
      </w:pPr>
    </w:p>
    <w:p w14:paraId="2B002A89" w14:textId="77777777" w:rsidR="000C42FB" w:rsidRPr="000F633E" w:rsidRDefault="000F633E" w:rsidP="000C42FB">
      <w:pPr>
        <w:jc w:val="both"/>
      </w:pPr>
      <w:r>
        <w:t>4.</w:t>
      </w:r>
      <w:r w:rsidR="000C42FB" w:rsidRPr="00485B15">
        <w:t xml:space="preserve"> A Pénzügyi és </w:t>
      </w:r>
      <w:r w:rsidR="000C42FB" w:rsidRPr="000F633E">
        <w:t>Vagyonnyilatkozatokat Ellenőrző Bizottság kezdeményezheti</w:t>
      </w:r>
      <w:r w:rsidRPr="000F633E">
        <w:t>:</w:t>
      </w:r>
    </w:p>
    <w:p w14:paraId="406C9B4B" w14:textId="77777777" w:rsidR="000C42FB" w:rsidRPr="000F633E" w:rsidRDefault="000C42FB" w:rsidP="000C42FB">
      <w:pPr>
        <w:pStyle w:val="Szvegtrzsbehzssal"/>
        <w:ind w:left="1080" w:hanging="540"/>
        <w:rPr>
          <w:sz w:val="24"/>
          <w:szCs w:val="24"/>
        </w:rPr>
      </w:pPr>
      <w:r w:rsidRPr="000F633E">
        <w:rPr>
          <w:sz w:val="24"/>
          <w:szCs w:val="24"/>
        </w:rPr>
        <w:t>4.1</w:t>
      </w:r>
      <w:r w:rsidR="000F633E" w:rsidRPr="000F633E">
        <w:rPr>
          <w:sz w:val="24"/>
          <w:szCs w:val="24"/>
        </w:rPr>
        <w:t>.</w:t>
      </w:r>
      <w:r w:rsidR="000F633E" w:rsidRPr="000F633E">
        <w:rPr>
          <w:sz w:val="24"/>
          <w:szCs w:val="24"/>
        </w:rPr>
        <w:tab/>
      </w:r>
      <w:r w:rsidRPr="000F633E">
        <w:rPr>
          <w:sz w:val="24"/>
          <w:szCs w:val="24"/>
        </w:rPr>
        <w:tab/>
        <w:t>az ön</w:t>
      </w:r>
      <w:r w:rsidR="000F633E" w:rsidRPr="000F633E">
        <w:rPr>
          <w:sz w:val="24"/>
          <w:szCs w:val="24"/>
        </w:rPr>
        <w:t>kormányzati biztos kirendelését;</w:t>
      </w:r>
    </w:p>
    <w:p w14:paraId="218E57B3" w14:textId="77777777" w:rsidR="000C42FB" w:rsidRPr="00485B15" w:rsidRDefault="000F633E" w:rsidP="000C42FB">
      <w:pPr>
        <w:ind w:left="540" w:firstLine="27"/>
        <w:jc w:val="both"/>
      </w:pPr>
      <w:r>
        <w:t>4.2.</w:t>
      </w:r>
      <w:r w:rsidR="000C42FB" w:rsidRPr="00485B15">
        <w:tab/>
        <w:t>az általa fontosnak tartott kérdésekben elemzések készítését.</w:t>
      </w:r>
    </w:p>
    <w:p w14:paraId="6CC7447E" w14:textId="77777777" w:rsidR="000C42FB" w:rsidRPr="00485B15" w:rsidRDefault="000C42FB" w:rsidP="000C42FB"/>
    <w:p w14:paraId="339B8724" w14:textId="77777777" w:rsidR="000F633E" w:rsidRPr="00AF5F6A" w:rsidRDefault="000F633E" w:rsidP="000F633E">
      <w:pPr>
        <w:ind w:left="284" w:hanging="284"/>
        <w:jc w:val="both"/>
      </w:pPr>
      <w:r>
        <w:t>5.</w:t>
      </w:r>
      <w:r w:rsidRPr="00AF5F6A">
        <w:t xml:space="preserve"> A Pénzügy</w:t>
      </w:r>
      <w:r>
        <w:t>i és Vagyonnyilatkozatokat E</w:t>
      </w:r>
      <w:r w:rsidRPr="00AF5F6A">
        <w:t xml:space="preserve">llenőrző Bizottság </w:t>
      </w:r>
      <w:r w:rsidRPr="00AF5F6A">
        <w:rPr>
          <w:iCs/>
        </w:rPr>
        <w:t>kezeli és tartja nyilván</w:t>
      </w:r>
      <w:r w:rsidRPr="00AF5F6A">
        <w:t xml:space="preserve"> a képviselők és hozzátartozóik vagyonnyilatkozatát:</w:t>
      </w:r>
    </w:p>
    <w:p w14:paraId="709C432C" w14:textId="77777777" w:rsidR="000F633E" w:rsidRPr="00AF5F6A" w:rsidRDefault="000F633E" w:rsidP="00FF5F3C">
      <w:pPr>
        <w:ind w:left="1410" w:hanging="870"/>
        <w:jc w:val="both"/>
      </w:pPr>
      <w:r>
        <w:t>5</w:t>
      </w:r>
      <w:r w:rsidRPr="00AF5F6A">
        <w:t>.1</w:t>
      </w:r>
      <w:r>
        <w:t>.</w:t>
      </w:r>
      <w:r>
        <w:tab/>
      </w:r>
      <w:r>
        <w:tab/>
        <w:t>a</w:t>
      </w:r>
      <w:r w:rsidRPr="00AF5F6A">
        <w:t xml:space="preserve"> Bizottság </w:t>
      </w:r>
      <w:r w:rsidRPr="00AF5F6A">
        <w:rPr>
          <w:bCs/>
          <w:iCs/>
        </w:rPr>
        <w:t>tájékoztatja</w:t>
      </w:r>
      <w:r w:rsidRPr="00AF5F6A">
        <w:rPr>
          <w:bCs/>
          <w:i/>
          <w:iCs/>
        </w:rPr>
        <w:t xml:space="preserve"> </w:t>
      </w:r>
      <w:r w:rsidRPr="00AF5F6A">
        <w:t>a kötelezettet vagyonnyilatkozat-tételi kötelezettségéről;</w:t>
      </w:r>
    </w:p>
    <w:p w14:paraId="35C9D9AF" w14:textId="77777777" w:rsidR="000F633E" w:rsidRPr="00AF5F6A" w:rsidRDefault="000F633E" w:rsidP="00FF5F3C">
      <w:pPr>
        <w:ind w:left="1080" w:hanging="540"/>
        <w:jc w:val="both"/>
      </w:pPr>
      <w:r>
        <w:t>5.2.</w:t>
      </w:r>
      <w:r w:rsidRPr="00AF5F6A">
        <w:t xml:space="preserve"> </w:t>
      </w:r>
      <w:r>
        <w:tab/>
      </w:r>
      <w:r>
        <w:tab/>
        <w:t>a</w:t>
      </w:r>
      <w:r w:rsidRPr="00AF5F6A">
        <w:t xml:space="preserve"> Bizottság </w:t>
      </w:r>
      <w:r w:rsidRPr="00AF5F6A">
        <w:rPr>
          <w:bCs/>
          <w:iCs/>
        </w:rPr>
        <w:t>igazolást ad ki</w:t>
      </w:r>
      <w:r w:rsidRPr="00AF5F6A">
        <w:t xml:space="preserve"> a vagyonnyilatkozat átvételéről;</w:t>
      </w:r>
    </w:p>
    <w:p w14:paraId="1BB0DB3A" w14:textId="77777777" w:rsidR="000F633E" w:rsidRPr="00AF5F6A" w:rsidRDefault="000F633E">
      <w:pPr>
        <w:ind w:left="1410" w:hanging="870"/>
        <w:jc w:val="both"/>
      </w:pPr>
      <w:r>
        <w:t>5</w:t>
      </w:r>
      <w:r w:rsidRPr="00AF5F6A">
        <w:t>.3</w:t>
      </w:r>
      <w:r>
        <w:t>.</w:t>
      </w:r>
      <w:r>
        <w:tab/>
      </w:r>
      <w:r>
        <w:tab/>
        <w:t>a</w:t>
      </w:r>
      <w:r w:rsidRPr="00AF5F6A">
        <w:t xml:space="preserve"> Bizottság </w:t>
      </w:r>
      <w:r w:rsidRPr="00AF5F6A">
        <w:rPr>
          <w:bCs/>
          <w:iCs/>
        </w:rPr>
        <w:t>nyilvántartást vezet</w:t>
      </w:r>
      <w:r w:rsidRPr="00AF5F6A">
        <w:t xml:space="preserve"> az átvett vagyonnyilatkozatokról, továbbá az azokhoz kapcsolódó egyéb iratokról;</w:t>
      </w:r>
    </w:p>
    <w:p w14:paraId="6AD712F0" w14:textId="77777777" w:rsidR="000F633E" w:rsidRPr="00AF5F6A" w:rsidRDefault="000F633E">
      <w:pPr>
        <w:ind w:left="1418" w:hanging="851"/>
        <w:jc w:val="both"/>
      </w:pPr>
      <w:r>
        <w:t>5.4.</w:t>
      </w:r>
      <w:r w:rsidRPr="00AF5F6A">
        <w:t xml:space="preserve"> </w:t>
      </w:r>
      <w:r>
        <w:tab/>
        <w:t>a</w:t>
      </w:r>
      <w:r w:rsidRPr="00AF5F6A">
        <w:t xml:space="preserve"> képviselő vagyonnyilatkozata - az ellenőrzéshez szolgáltatott azonosító adatok kivételével – nyilvános, abba bárki betekinthet. A Bizottság elnöke a Polgármesteri Hivatalon keresztül </w:t>
      </w:r>
      <w:r w:rsidRPr="00AF5F6A">
        <w:rPr>
          <w:bCs/>
        </w:rPr>
        <w:t>gondoskodik</w:t>
      </w:r>
      <w:r w:rsidRPr="00AF5F6A">
        <w:rPr>
          <w:i/>
        </w:rPr>
        <w:t xml:space="preserve"> </w:t>
      </w:r>
      <w:r w:rsidRPr="00AF5F6A">
        <w:t>a vagyonnyilatkozat közzétételéről az Önkormányzat honlapján. A Bizottság elnöke biztosítja a vagyonnyilatkozatba történő betekintés lehetőségét. A képviselő hozzátartozójának vagyonnyilatkozata nem nyilvános, abba csak az ellenőrző bizottság tagjai tekinthetnek be az ellenőrzés céljából;</w:t>
      </w:r>
    </w:p>
    <w:p w14:paraId="57FE7D58" w14:textId="77777777" w:rsidR="000F633E" w:rsidRDefault="000F633E">
      <w:pPr>
        <w:ind w:left="1410" w:hanging="870"/>
        <w:jc w:val="both"/>
      </w:pPr>
      <w:r>
        <w:t>5</w:t>
      </w:r>
      <w:r w:rsidRPr="00AF5F6A">
        <w:t>.5</w:t>
      </w:r>
      <w:r>
        <w:t>.</w:t>
      </w:r>
      <w:r w:rsidRPr="00AF5F6A">
        <w:t xml:space="preserve"> </w:t>
      </w:r>
      <w:r>
        <w:tab/>
      </w:r>
      <w:r>
        <w:tab/>
        <w:t>a</w:t>
      </w:r>
      <w:r w:rsidRPr="00AF5F6A">
        <w:t xml:space="preserve"> Bizottság ellátja a vagyonnyilatkozatok </w:t>
      </w:r>
      <w:r w:rsidRPr="00AF5F6A">
        <w:rPr>
          <w:iCs/>
        </w:rPr>
        <w:t>ellenőrzésével</w:t>
      </w:r>
      <w:r w:rsidRPr="00AF5F6A">
        <w:t xml:space="preserve"> kapcsolatos feladatokat;</w:t>
      </w:r>
    </w:p>
    <w:p w14:paraId="591B720F" w14:textId="77777777" w:rsidR="000F633E" w:rsidRPr="00AF5F6A" w:rsidRDefault="000F633E" w:rsidP="00FF5F3C">
      <w:pPr>
        <w:ind w:left="1407" w:hanging="840"/>
        <w:jc w:val="both"/>
      </w:pPr>
      <w:r>
        <w:t>5</w:t>
      </w:r>
      <w:r w:rsidRPr="00AF5F6A">
        <w:t>.6</w:t>
      </w:r>
      <w:r>
        <w:t>.</w:t>
      </w:r>
      <w:r w:rsidRPr="00AF5F6A">
        <w:t xml:space="preserve"> </w:t>
      </w:r>
      <w:r>
        <w:tab/>
      </w:r>
      <w:r w:rsidR="00444FA1">
        <w:tab/>
        <w:t>A</w:t>
      </w:r>
      <w:r>
        <w:t xml:space="preserve"> </w:t>
      </w:r>
      <w:r w:rsidRPr="00AF5F6A">
        <w:t>vagyonnyilatkozattal kapcsolatos eljárást a bizottságnál bárki kezdeményezheti. A bizottság eljárására a képviselő-testületi zárt ülésre vonatkozó szabályokat kell alkalmazni;</w:t>
      </w:r>
    </w:p>
    <w:p w14:paraId="0CF3822B" w14:textId="77777777" w:rsidR="000F633E" w:rsidRPr="00AF5F6A" w:rsidRDefault="000F633E" w:rsidP="000F633E">
      <w:pPr>
        <w:ind w:left="1080" w:hanging="540"/>
        <w:jc w:val="both"/>
      </w:pPr>
      <w:r>
        <w:lastRenderedPageBreak/>
        <w:t>5.7.</w:t>
      </w:r>
      <w:r w:rsidRPr="00AF5F6A">
        <w:t xml:space="preserve"> </w:t>
      </w:r>
      <w:r>
        <w:t>a</w:t>
      </w:r>
      <w:r w:rsidRPr="00AF5F6A">
        <w:t xml:space="preserve"> vagyonnyilatkozattal kapcsolatos eljárás célja a vagyonnyilatkozatban foglaltak valóságtartalmának ellenőrzése;</w:t>
      </w:r>
    </w:p>
    <w:p w14:paraId="74D5617E" w14:textId="77777777" w:rsidR="000F633E" w:rsidRPr="00AF5F6A" w:rsidRDefault="000F633E" w:rsidP="000F633E">
      <w:pPr>
        <w:ind w:left="1080" w:hanging="540"/>
        <w:jc w:val="both"/>
      </w:pPr>
      <w:r>
        <w:t>5.8.</w:t>
      </w:r>
      <w:r w:rsidRPr="00AF5F6A">
        <w:t xml:space="preserve"> </w:t>
      </w:r>
      <w:r>
        <w:t>A</w:t>
      </w:r>
      <w:r w:rsidRPr="00AF5F6A">
        <w:t xml:space="preserve"> vagyonnyilatkozattal kapcsolatos eljárás lefolytatásának a vagyonnyilatkozat konkrét tartalmára vonatkozó tényállás esetén van helye. Ha az eljárást kezdeményező nem jelöli meg konkrétan a vagyonnyilatkozat kifogásolt részét és tartalmát, a bizottság elnöke felhívja a kezdeményezőt a hiány pótlására. Ha a kezdeményező tizenöt napon belül nem tesz eleget a felhívásnak, vagy ha a kezdeményezés nyilvánvalóan alaptalan, a bizottság elnöke az eljárás lefolytatása nélkül elutasítja a kezdeményezést;</w:t>
      </w:r>
    </w:p>
    <w:p w14:paraId="390A0F9E" w14:textId="77777777" w:rsidR="000F633E" w:rsidRPr="00AF5F6A" w:rsidRDefault="000F633E" w:rsidP="000F633E">
      <w:pPr>
        <w:ind w:left="1080" w:hanging="540"/>
        <w:jc w:val="both"/>
      </w:pPr>
      <w:r>
        <w:t xml:space="preserve">5.9. </w:t>
      </w:r>
      <w:r w:rsidRPr="00AF5F6A">
        <w:t>A vagyonnyilatkozattal kapcsolatos eljárás megismétlésének ugyanazon vagyonnyilatkozat esetében csak akkor van helye, ha az erre irányuló kezdeményezés új tényállást, új adatot tartalmaz. A vagyonnyilatkozattal kapcsolatos eljárásra irányuló – új tényállás, új</w:t>
      </w:r>
      <w:r>
        <w:t xml:space="preserve"> </w:t>
      </w:r>
      <w:r w:rsidRPr="00AF5F6A">
        <w:t>adat nélküli – ismételt kezdeményezést a bizottság elnöke az eljárás lefolytatása nélkül elutasítja;</w:t>
      </w:r>
    </w:p>
    <w:p w14:paraId="5205E927" w14:textId="77777777" w:rsidR="000F633E" w:rsidRPr="00AF5F6A" w:rsidRDefault="000F633E" w:rsidP="000F633E">
      <w:pPr>
        <w:ind w:left="1080" w:hanging="540"/>
        <w:jc w:val="both"/>
      </w:pPr>
      <w:r>
        <w:t>5</w:t>
      </w:r>
      <w:r w:rsidRPr="00AF5F6A">
        <w:t>.10</w:t>
      </w:r>
      <w:r>
        <w:t>.</w:t>
      </w:r>
      <w:r w:rsidRPr="00AF5F6A">
        <w:t xml:space="preserve"> A vagyonnyilatkozattal kapcsolatos eljárás során a Bizottság elnökének felhívására a képviselő köteles saját, illetve a hozzátartozója vagyonnyilatkozatában feltüntetett adatokra vonatkozó azonosító adatokat haladéktalanul írásban bejelenteni. Az azonosító adatokat csak a Bizottság tagjai ismerhetik meg, és azokat az eljárás lezárását követő nyolc napon belül törölni kell;</w:t>
      </w:r>
    </w:p>
    <w:p w14:paraId="47CE6551" w14:textId="77777777" w:rsidR="000F633E" w:rsidRPr="00AF5F6A" w:rsidRDefault="000F633E" w:rsidP="000F633E">
      <w:pPr>
        <w:ind w:left="1080" w:hanging="540"/>
      </w:pPr>
      <w:r>
        <w:t>5.11.</w:t>
      </w:r>
      <w:r w:rsidRPr="00AF5F6A">
        <w:t xml:space="preserve"> A vagyonnyilatkozattal kapcsolatos eljárás eredményéről a bizottság </w:t>
      </w:r>
      <w:r w:rsidRPr="00AF5F6A">
        <w:rPr>
          <w:bCs/>
          <w:iCs/>
        </w:rPr>
        <w:t>tájékoztatja</w:t>
      </w:r>
      <w:r w:rsidRPr="00AF5F6A">
        <w:t xml:space="preserve"> soron következő ülésén a Képviselő-testületet.</w:t>
      </w:r>
    </w:p>
    <w:p w14:paraId="5411C0B2" w14:textId="77777777" w:rsidR="000F633E" w:rsidRPr="00AF5F6A" w:rsidRDefault="000F633E" w:rsidP="000F633E">
      <w:pPr>
        <w:ind w:left="540" w:hanging="540"/>
      </w:pPr>
    </w:p>
    <w:p w14:paraId="481A5890" w14:textId="77777777" w:rsidR="000F633E" w:rsidRPr="00AF5F6A" w:rsidRDefault="000F633E" w:rsidP="000F633E">
      <w:pPr>
        <w:ind w:left="540" w:hanging="540"/>
        <w:jc w:val="both"/>
      </w:pPr>
      <w:r>
        <w:t>6.</w:t>
      </w:r>
      <w:r w:rsidRPr="00AF5F6A">
        <w:t xml:space="preserve"> A Pénzügyi és Vagyonnyilatkozatokat Ellenőrző Bizottság feladatai a nem képviselő bizottsági tag vagyonnyilatkozat-tételével kapcsolatban:</w:t>
      </w:r>
    </w:p>
    <w:p w14:paraId="35C4555E" w14:textId="77777777" w:rsidR="000F633E" w:rsidRPr="00AF5F6A" w:rsidRDefault="000F633E" w:rsidP="000F633E">
      <w:pPr>
        <w:ind w:left="1080" w:hanging="540"/>
        <w:jc w:val="both"/>
      </w:pPr>
      <w:r>
        <w:t>6</w:t>
      </w:r>
      <w:r w:rsidRPr="00AF5F6A">
        <w:t>.1</w:t>
      </w:r>
      <w:r>
        <w:t>.</w:t>
      </w:r>
      <w:r w:rsidRPr="00AF5F6A">
        <w:t xml:space="preserve"> </w:t>
      </w:r>
      <w:r>
        <w:tab/>
      </w:r>
      <w:r w:rsidRPr="00AF5F6A">
        <w:t>őrzi a nem képviselő bizottsági tagok és hozzátartozóik vagyonnyilatkozatát;</w:t>
      </w:r>
    </w:p>
    <w:p w14:paraId="480BD4CF" w14:textId="77777777" w:rsidR="000F633E" w:rsidRPr="00AF5F6A" w:rsidRDefault="000F633E" w:rsidP="000F633E">
      <w:pPr>
        <w:ind w:left="1080" w:hanging="540"/>
        <w:jc w:val="both"/>
      </w:pPr>
      <w:r>
        <w:t>6</w:t>
      </w:r>
      <w:r w:rsidRPr="00AF5F6A">
        <w:t>.2</w:t>
      </w:r>
      <w:r>
        <w:t>.</w:t>
      </w:r>
      <w:r w:rsidRPr="00AF5F6A">
        <w:t xml:space="preserve"> </w:t>
      </w:r>
      <w:r>
        <w:tab/>
      </w:r>
      <w:r w:rsidRPr="00AF5F6A">
        <w:t>tájékoztatja a kötelezettet a vagyonnyilatkozat-tétel esedékességéről;</w:t>
      </w:r>
    </w:p>
    <w:p w14:paraId="08EFE4FD" w14:textId="77777777" w:rsidR="000F633E" w:rsidRPr="00AF5F6A" w:rsidRDefault="000F633E" w:rsidP="000F633E">
      <w:pPr>
        <w:ind w:left="1080" w:hanging="540"/>
        <w:jc w:val="both"/>
      </w:pPr>
      <w:r>
        <w:t>6.3.</w:t>
      </w:r>
      <w:r>
        <w:tab/>
      </w:r>
      <w:r w:rsidRPr="00AF5F6A">
        <w:t>ellenőrzi a vagyonnyilatkozat-tétel teljesítését;</w:t>
      </w:r>
    </w:p>
    <w:p w14:paraId="763084F0" w14:textId="77777777" w:rsidR="000F633E" w:rsidRPr="00AF5F6A" w:rsidRDefault="000F633E" w:rsidP="000F633E">
      <w:pPr>
        <w:ind w:left="1080" w:hanging="540"/>
        <w:jc w:val="both"/>
      </w:pPr>
      <w:r>
        <w:t>6</w:t>
      </w:r>
      <w:r w:rsidRPr="00AF5F6A">
        <w:t>.4</w:t>
      </w:r>
      <w:r>
        <w:t>.</w:t>
      </w:r>
      <w:r w:rsidRPr="00AF5F6A">
        <w:t xml:space="preserve"> </w:t>
      </w:r>
      <w:r>
        <w:tab/>
      </w:r>
      <w:r w:rsidRPr="00AF5F6A">
        <w:rPr>
          <w:bCs/>
          <w:iCs/>
        </w:rPr>
        <w:t>nyilvántartási azonosítóval látja el a vagyonnyilatkozatot</w:t>
      </w:r>
      <w:r w:rsidRPr="00AF5F6A">
        <w:t xml:space="preserve">; </w:t>
      </w:r>
    </w:p>
    <w:p w14:paraId="3E68F2E2" w14:textId="77777777" w:rsidR="000F633E" w:rsidRPr="00AF5F6A" w:rsidRDefault="000F633E" w:rsidP="000F633E">
      <w:pPr>
        <w:ind w:left="1080" w:hanging="540"/>
        <w:jc w:val="both"/>
      </w:pPr>
      <w:r>
        <w:t>6</w:t>
      </w:r>
      <w:r w:rsidRPr="00AF5F6A">
        <w:t>.</w:t>
      </w:r>
      <w:r>
        <w:t>5.</w:t>
      </w:r>
      <w:r w:rsidR="00F67E39">
        <w:tab/>
      </w:r>
      <w:r w:rsidR="00444FA1">
        <w:t>A</w:t>
      </w:r>
      <w:r w:rsidRPr="00AF5F6A">
        <w:t xml:space="preserve"> Bizottság ellenőr</w:t>
      </w:r>
      <w:r w:rsidR="00FF5F3C">
        <w:t>zési eljárást folytathat le. A B</w:t>
      </w:r>
      <w:r w:rsidRPr="00AF5F6A">
        <w:t>izottság eljárására a képviselő-testületi zárt ülésre vonatkozó szabályokat kell alkalmazni. A nem képviselő bizottsági tag és hozzátartozójának vagyonnyilatkozata nem nyilvános, abba csak az ellenőrző bizottság tagjai tekinthetnek be az ellenőrzés céljából;</w:t>
      </w:r>
    </w:p>
    <w:p w14:paraId="5B3AA024" w14:textId="77777777" w:rsidR="000F633E" w:rsidRPr="00AF5F6A" w:rsidRDefault="00F67E39" w:rsidP="00F67E39">
      <w:pPr>
        <w:ind w:left="1134" w:hanging="567"/>
        <w:jc w:val="both"/>
      </w:pPr>
      <w:r>
        <w:t>6</w:t>
      </w:r>
      <w:r w:rsidR="000F633E" w:rsidRPr="00AF5F6A">
        <w:t>.6</w:t>
      </w:r>
      <w:r>
        <w:t xml:space="preserve">. </w:t>
      </w:r>
      <w:r w:rsidR="00444FA1">
        <w:tab/>
      </w:r>
      <w:r w:rsidR="000F633E" w:rsidRPr="00AF5F6A">
        <w:t>gondoskodik a vagyonnyilatkoz</w:t>
      </w:r>
      <w:r>
        <w:t xml:space="preserve">at visszaadásáról, amennyiben a </w:t>
      </w:r>
      <w:r w:rsidR="000F633E" w:rsidRPr="00AF5F6A">
        <w:t>vagyonnyilatkozat-tételi kötelezettség megszűnt vagy a kötelezett új vagyonnyilatkozatot tett.</w:t>
      </w:r>
    </w:p>
    <w:p w14:paraId="731E6F53" w14:textId="77777777" w:rsidR="000F633E" w:rsidRPr="00AF5F6A" w:rsidRDefault="000F633E" w:rsidP="000F633E">
      <w:pPr>
        <w:ind w:left="1418" w:hanging="851"/>
        <w:jc w:val="both"/>
      </w:pPr>
    </w:p>
    <w:p w14:paraId="71A1B2B8" w14:textId="77777777" w:rsidR="000F633E" w:rsidRPr="00AF5F6A" w:rsidRDefault="00F67E39" w:rsidP="000F633E">
      <w:pPr>
        <w:ind w:left="-42"/>
        <w:jc w:val="both"/>
      </w:pPr>
      <w:r>
        <w:t>7</w:t>
      </w:r>
      <w:r w:rsidR="000F633E" w:rsidRPr="00AF5F6A">
        <w:t xml:space="preserve">. A </w:t>
      </w:r>
      <w:r>
        <w:t>Pé</w:t>
      </w:r>
      <w:r w:rsidR="000F633E" w:rsidRPr="00AF5F6A">
        <w:t>nzügyi és Vagyonnyilatkozatokat Ellenőrző Bizottság ellátja:</w:t>
      </w:r>
    </w:p>
    <w:p w14:paraId="63522884" w14:textId="77777777" w:rsidR="000F633E" w:rsidRPr="00AF5F6A" w:rsidRDefault="000F633E" w:rsidP="0019139C">
      <w:pPr>
        <w:ind w:left="1276" w:hanging="1276"/>
        <w:jc w:val="both"/>
      </w:pPr>
      <w:r w:rsidRPr="00AF5F6A">
        <w:t xml:space="preserve">          </w:t>
      </w:r>
      <w:r w:rsidR="00F67E39">
        <w:t>7</w:t>
      </w:r>
      <w:r w:rsidRPr="00AF5F6A">
        <w:t>.1</w:t>
      </w:r>
      <w:r w:rsidR="00F67E39">
        <w:t>.</w:t>
      </w:r>
      <w:r w:rsidRPr="00AF5F6A">
        <w:t xml:space="preserve"> </w:t>
      </w:r>
      <w:r w:rsidR="0019139C">
        <w:tab/>
      </w:r>
      <w:r w:rsidRPr="00AF5F6A">
        <w:t>a Magyarország helyi önkormányzatairól szóló 2011. évi CLXXXIX. törvény (a továbbiakban: Mötv.) 36-37. §-aiban szabályozott összeférhetetlenséggel kapcsolatos feladatokat;</w:t>
      </w:r>
    </w:p>
    <w:p w14:paraId="61E92A8A" w14:textId="77777777" w:rsidR="000F633E" w:rsidRPr="00AF5F6A" w:rsidRDefault="00F67E39" w:rsidP="0019139C">
      <w:pPr>
        <w:ind w:left="426" w:hanging="426"/>
        <w:jc w:val="both"/>
      </w:pPr>
      <w:r>
        <w:t xml:space="preserve">          7</w:t>
      </w:r>
      <w:r w:rsidR="000F633E" w:rsidRPr="00AF5F6A">
        <w:t>.2</w:t>
      </w:r>
      <w:r>
        <w:t>.</w:t>
      </w:r>
      <w:r w:rsidR="000F633E" w:rsidRPr="00AF5F6A">
        <w:t xml:space="preserve"> </w:t>
      </w:r>
      <w:r w:rsidR="0019139C">
        <w:t xml:space="preserve">     </w:t>
      </w:r>
      <w:r w:rsidR="000F633E" w:rsidRPr="00AF5F6A">
        <w:t>az Mötv. 38. §-ban szabályozott méltatlansági eljárással kapcsolatos feladatokat.</w:t>
      </w:r>
    </w:p>
    <w:p w14:paraId="4911E120" w14:textId="77777777" w:rsidR="000C42FB" w:rsidRPr="00485B15" w:rsidRDefault="000C42FB" w:rsidP="000C42FB">
      <w:pPr>
        <w:ind w:left="1080" w:hanging="540"/>
        <w:jc w:val="both"/>
      </w:pPr>
    </w:p>
    <w:p w14:paraId="4DF65F2B" w14:textId="77777777" w:rsidR="00CB7B73" w:rsidRPr="00485B15" w:rsidRDefault="00CB7B73"/>
    <w:sectPr w:rsidR="00CB7B73" w:rsidRPr="0048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746F6" w14:textId="77777777" w:rsidR="000C42FB" w:rsidRDefault="000C42FB" w:rsidP="000C42FB">
      <w:r>
        <w:separator/>
      </w:r>
    </w:p>
  </w:endnote>
  <w:endnote w:type="continuationSeparator" w:id="0">
    <w:p w14:paraId="52ADDAAB" w14:textId="77777777" w:rsidR="000C42FB" w:rsidRDefault="000C42FB" w:rsidP="000C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66E7B" w14:textId="77777777" w:rsidR="000C42FB" w:rsidRDefault="000C42FB" w:rsidP="000C42FB">
      <w:r>
        <w:separator/>
      </w:r>
    </w:p>
  </w:footnote>
  <w:footnote w:type="continuationSeparator" w:id="0">
    <w:p w14:paraId="50719F59" w14:textId="77777777" w:rsidR="000C42FB" w:rsidRDefault="000C42FB" w:rsidP="000C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7126"/>
    <w:multiLevelType w:val="multilevel"/>
    <w:tmpl w:val="102CA62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)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)%3."/>
      <w:lvlJc w:val="left"/>
      <w:pPr>
        <w:tabs>
          <w:tab w:val="num" w:pos="1566"/>
        </w:tabs>
        <w:ind w:left="1566" w:hanging="720"/>
      </w:pPr>
    </w:lvl>
    <w:lvl w:ilvl="3">
      <w:start w:val="1"/>
      <w:numFmt w:val="decimal"/>
      <w:lvlText w:val="%1.%2)%3.%4."/>
      <w:lvlJc w:val="left"/>
      <w:pPr>
        <w:tabs>
          <w:tab w:val="num" w:pos="2349"/>
        </w:tabs>
        <w:ind w:left="2349" w:hanging="1080"/>
      </w:pPr>
    </w:lvl>
    <w:lvl w:ilvl="4">
      <w:start w:val="1"/>
      <w:numFmt w:val="decimal"/>
      <w:lvlText w:val="%1.%2)%3.%4.%5."/>
      <w:lvlJc w:val="left"/>
      <w:pPr>
        <w:tabs>
          <w:tab w:val="num" w:pos="2772"/>
        </w:tabs>
        <w:ind w:left="2772" w:hanging="1080"/>
      </w:pPr>
    </w:lvl>
    <w:lvl w:ilvl="5">
      <w:start w:val="1"/>
      <w:numFmt w:val="decimal"/>
      <w:lvlText w:val="%1.%2)%3.%4.%5.%6."/>
      <w:lvlJc w:val="left"/>
      <w:pPr>
        <w:tabs>
          <w:tab w:val="num" w:pos="3555"/>
        </w:tabs>
        <w:ind w:left="355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978"/>
        </w:tabs>
        <w:ind w:left="3978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4761"/>
        </w:tabs>
        <w:ind w:left="4761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5184"/>
        </w:tabs>
        <w:ind w:left="5184" w:hanging="1800"/>
      </w:pPr>
    </w:lvl>
  </w:abstractNum>
  <w:abstractNum w:abstractNumId="1">
    <w:nsid w:val="39BC1ADD"/>
    <w:multiLevelType w:val="multilevel"/>
    <w:tmpl w:val="95160B4C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79"/>
      </w:pPr>
    </w:lvl>
    <w:lvl w:ilvl="1">
      <w:start w:val="6"/>
      <w:numFmt w:val="decimal"/>
      <w:lvlText w:val="%1.%2)"/>
      <w:lvlJc w:val="left"/>
      <w:pPr>
        <w:tabs>
          <w:tab w:val="num" w:pos="1143"/>
        </w:tabs>
        <w:ind w:left="1143" w:hanging="720"/>
      </w:pPr>
    </w:lvl>
    <w:lvl w:ilvl="2">
      <w:start w:val="1"/>
      <w:numFmt w:val="decimal"/>
      <w:lvlText w:val="%1.%2)%3."/>
      <w:lvlJc w:val="left"/>
      <w:pPr>
        <w:tabs>
          <w:tab w:val="num" w:pos="1566"/>
        </w:tabs>
        <w:ind w:left="1566" w:hanging="720"/>
      </w:pPr>
    </w:lvl>
    <w:lvl w:ilvl="3">
      <w:start w:val="1"/>
      <w:numFmt w:val="decimal"/>
      <w:lvlText w:val="%1.%2)%3.%4."/>
      <w:lvlJc w:val="left"/>
      <w:pPr>
        <w:tabs>
          <w:tab w:val="num" w:pos="2349"/>
        </w:tabs>
        <w:ind w:left="2349" w:hanging="1080"/>
      </w:pPr>
    </w:lvl>
    <w:lvl w:ilvl="4">
      <w:start w:val="1"/>
      <w:numFmt w:val="decimal"/>
      <w:lvlText w:val="%1.%2)%3.%4.%5."/>
      <w:lvlJc w:val="left"/>
      <w:pPr>
        <w:tabs>
          <w:tab w:val="num" w:pos="2772"/>
        </w:tabs>
        <w:ind w:left="2772" w:hanging="1080"/>
      </w:pPr>
    </w:lvl>
    <w:lvl w:ilvl="5">
      <w:start w:val="1"/>
      <w:numFmt w:val="decimal"/>
      <w:lvlText w:val="%1.%2)%3.%4.%5.%6."/>
      <w:lvlJc w:val="left"/>
      <w:pPr>
        <w:tabs>
          <w:tab w:val="num" w:pos="3555"/>
        </w:tabs>
        <w:ind w:left="355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978"/>
        </w:tabs>
        <w:ind w:left="3978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4761"/>
        </w:tabs>
        <w:ind w:left="4761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5184"/>
        </w:tabs>
        <w:ind w:left="5184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82"/>
    <w:rsid w:val="000C42FB"/>
    <w:rsid w:val="000F633E"/>
    <w:rsid w:val="0019139C"/>
    <w:rsid w:val="002426E7"/>
    <w:rsid w:val="00444FA1"/>
    <w:rsid w:val="00485B15"/>
    <w:rsid w:val="005F3F9B"/>
    <w:rsid w:val="00771782"/>
    <w:rsid w:val="00823DF7"/>
    <w:rsid w:val="00CB7B73"/>
    <w:rsid w:val="00F67E39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6D32"/>
  <w15:chartTrackingRefBased/>
  <w15:docId w15:val="{755CBD12-AA91-4A08-893C-59466F7E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0C42FB"/>
    <w:rPr>
      <w:vertAlign w:val="superscript"/>
    </w:rPr>
  </w:style>
  <w:style w:type="paragraph" w:styleId="Szvegtrzsbehzssal">
    <w:name w:val="Body Text Indent"/>
    <w:basedOn w:val="Norml"/>
    <w:link w:val="SzvegtrzsbehzssalChar"/>
    <w:rsid w:val="000C42FB"/>
    <w:pPr>
      <w:ind w:left="720" w:hanging="720"/>
      <w:jc w:val="both"/>
    </w:pPr>
    <w:rPr>
      <w:sz w:val="26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0C42F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Szveg">
    <w:name w:val="Szöveg"/>
    <w:basedOn w:val="Norml"/>
    <w:rsid w:val="000C42FB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styleId="Lbjegyzetszveg">
    <w:name w:val="footnote text"/>
    <w:basedOn w:val="Norml"/>
    <w:link w:val="LbjegyzetszvegChar"/>
    <w:semiHidden/>
    <w:rsid w:val="000C42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C42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0C42FB"/>
    <w:rPr>
      <w:b/>
      <w:bCs/>
    </w:rPr>
  </w:style>
  <w:style w:type="paragraph" w:customStyle="1" w:styleId="CharChar1CharCharCharChar1">
    <w:name w:val="Char Char1 Char Char Char Char1"/>
    <w:basedOn w:val="Norml"/>
    <w:rsid w:val="000C42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5F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5F3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426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26E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26E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26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26E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7725F-F48D-4096-AFA9-CA16C116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676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Murai Renáta</cp:lastModifiedBy>
  <cp:revision>10</cp:revision>
  <dcterms:created xsi:type="dcterms:W3CDTF">2019-11-14T11:20:00Z</dcterms:created>
  <dcterms:modified xsi:type="dcterms:W3CDTF">2019-11-15T09:41:00Z</dcterms:modified>
</cp:coreProperties>
</file>