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32" w:rsidRPr="00A84E00" w:rsidRDefault="00E33932" w:rsidP="00E33932">
      <w:pPr>
        <w:pStyle w:val="Szvegtrzs"/>
        <w:spacing w:after="0" w:line="100" w:lineRule="atLeast"/>
        <w:ind w:firstLine="4860"/>
        <w:jc w:val="right"/>
      </w:pPr>
      <w:r w:rsidRPr="00A84E00">
        <w:t>…</w:t>
      </w:r>
      <w:proofErr w:type="gramStart"/>
      <w:r w:rsidRPr="00A84E00">
        <w:t>………….</w:t>
      </w:r>
      <w:proofErr w:type="gramEnd"/>
      <w:r w:rsidRPr="00A84E00">
        <w:t xml:space="preserve"> (sz.) napirend</w:t>
      </w:r>
    </w:p>
    <w:p w:rsidR="00E33932" w:rsidRPr="00A84E00" w:rsidRDefault="00E33932" w:rsidP="00E33932">
      <w:pPr>
        <w:pStyle w:val="Szvegtrzs"/>
        <w:spacing w:after="0" w:line="100" w:lineRule="atLeast"/>
        <w:jc w:val="both"/>
      </w:pPr>
    </w:p>
    <w:p w:rsidR="00E33932" w:rsidRPr="00A84E00" w:rsidRDefault="00E33932" w:rsidP="00E33932">
      <w:pPr>
        <w:pStyle w:val="Szvegtrzs"/>
        <w:spacing w:after="0" w:line="100" w:lineRule="atLeast"/>
        <w:ind w:firstLine="3686"/>
        <w:jc w:val="right"/>
      </w:pPr>
      <w:r w:rsidRPr="00A84E00">
        <w:t>Előterjesztve: Gazdasági és Tulajdonosi Bizottsághoz</w:t>
      </w: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Cmsor1"/>
        <w:numPr>
          <w:ilvl w:val="0"/>
          <w:numId w:val="2"/>
        </w:numPr>
        <w:tabs>
          <w:tab w:val="left" w:pos="0"/>
        </w:tabs>
        <w:spacing w:before="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4E00">
        <w:rPr>
          <w:rFonts w:ascii="Times New Roman" w:hAnsi="Times New Roman" w:cs="Times New Roman"/>
          <w:sz w:val="24"/>
          <w:szCs w:val="24"/>
        </w:rPr>
        <w:t>E L Ő T E R J E S Z T É S</w:t>
      </w: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  <w:jc w:val="center"/>
        <w:rPr>
          <w:b/>
        </w:rPr>
      </w:pPr>
      <w:r w:rsidRPr="00A84E00">
        <w:rPr>
          <w:b/>
        </w:rPr>
        <w:t xml:space="preserve">A Képviselő-testület 2014. </w:t>
      </w:r>
      <w:r w:rsidR="006E57AD" w:rsidRPr="00A84E00">
        <w:rPr>
          <w:b/>
        </w:rPr>
        <w:t>november</w:t>
      </w:r>
      <w:r w:rsidRPr="00A84E00">
        <w:rPr>
          <w:b/>
        </w:rPr>
        <w:t xml:space="preserve"> </w:t>
      </w:r>
      <w:r w:rsidR="006E57AD" w:rsidRPr="00A84E00">
        <w:rPr>
          <w:b/>
        </w:rPr>
        <w:t>20</w:t>
      </w:r>
      <w:r w:rsidRPr="00A84E00">
        <w:rPr>
          <w:b/>
        </w:rPr>
        <w:t>-i rendes ülésére</w:t>
      </w: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  <w:jc w:val="both"/>
      </w:pPr>
    </w:p>
    <w:p w:rsidR="00E33932" w:rsidRPr="00A84E00" w:rsidRDefault="00E33932" w:rsidP="00E33932">
      <w:pPr>
        <w:ind w:left="1418" w:hanging="1418"/>
        <w:jc w:val="both"/>
      </w:pPr>
      <w:r w:rsidRPr="00A84E00">
        <w:rPr>
          <w:b/>
        </w:rPr>
        <w:t>Tárgy:</w:t>
      </w:r>
      <w:r w:rsidRPr="00A84E00">
        <w:rPr>
          <w:b/>
        </w:rPr>
        <w:tab/>
      </w:r>
      <w:r w:rsidRPr="00A84E00">
        <w:t>A Budapest II. kerület</w:t>
      </w:r>
      <w:r w:rsidR="002556AB" w:rsidRPr="00A84E00">
        <w:t>,</w:t>
      </w:r>
      <w:r w:rsidRPr="00A84E00">
        <w:t xml:space="preserve"> 11489/4 helyrajzi számú, természetben a Budapest II. kerület, </w:t>
      </w:r>
      <w:r w:rsidRPr="00A84E00">
        <w:rPr>
          <w:bCs/>
        </w:rPr>
        <w:t xml:space="preserve">Napraforgó utca 19. </w:t>
      </w:r>
      <w:r w:rsidRPr="00A84E00">
        <w:t>szám alatt található ingatlan értékesítése</w:t>
      </w:r>
    </w:p>
    <w:p w:rsidR="00E33932" w:rsidRPr="00A84E00" w:rsidRDefault="00E33932" w:rsidP="00E33932">
      <w:pPr>
        <w:pStyle w:val="Szvegtrzs"/>
        <w:spacing w:after="0" w:line="100" w:lineRule="atLeast"/>
        <w:ind w:left="1440" w:hanging="1440"/>
      </w:pPr>
    </w:p>
    <w:p w:rsidR="00E33932" w:rsidRPr="00A84E00" w:rsidRDefault="00E33932" w:rsidP="00E33932">
      <w:pPr>
        <w:pStyle w:val="Szvegtrzs"/>
        <w:spacing w:after="0" w:line="100" w:lineRule="atLeast"/>
        <w:ind w:left="1440" w:hanging="1440"/>
      </w:pPr>
    </w:p>
    <w:p w:rsidR="00E33932" w:rsidRPr="00A84E00" w:rsidRDefault="00E33932" w:rsidP="00E33932">
      <w:pPr>
        <w:pStyle w:val="Szvegtrzs"/>
        <w:spacing w:after="0" w:line="100" w:lineRule="atLeast"/>
        <w:ind w:left="1440" w:hanging="1440"/>
      </w:pPr>
    </w:p>
    <w:p w:rsidR="00E33932" w:rsidRPr="00A84E00" w:rsidRDefault="00E33932" w:rsidP="00E33932">
      <w:pPr>
        <w:pStyle w:val="Szvegtrzs"/>
        <w:spacing w:after="0" w:line="100" w:lineRule="atLeast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</w:pPr>
      <w:r w:rsidRPr="00A84E00">
        <w:rPr>
          <w:b/>
        </w:rPr>
        <w:t>Készítette:</w:t>
      </w:r>
      <w:r w:rsidRPr="00A84E00">
        <w:rPr>
          <w:b/>
        </w:rPr>
        <w:tab/>
      </w:r>
      <w:proofErr w:type="gramStart"/>
      <w:r w:rsidRPr="00A84E00">
        <w:t>………………………………</w:t>
      </w:r>
      <w:proofErr w:type="gramEnd"/>
    </w:p>
    <w:p w:rsidR="00E33932" w:rsidRPr="00A84E00" w:rsidRDefault="00E33932" w:rsidP="00E33932">
      <w:pPr>
        <w:pStyle w:val="Szvegtrzs"/>
        <w:tabs>
          <w:tab w:val="center" w:pos="0"/>
        </w:tabs>
        <w:spacing w:after="0" w:line="100" w:lineRule="atLeast"/>
        <w:ind w:right="227"/>
      </w:pPr>
      <w:r w:rsidRPr="00A84E00">
        <w:tab/>
      </w:r>
      <w:r w:rsidRPr="00A84E00">
        <w:tab/>
      </w:r>
      <w:proofErr w:type="gramStart"/>
      <w:r w:rsidRPr="00A84E00">
        <w:t>dr.</w:t>
      </w:r>
      <w:proofErr w:type="gramEnd"/>
      <w:r w:rsidRPr="00A84E00">
        <w:t xml:space="preserve"> Láng Orsolya</w:t>
      </w:r>
    </w:p>
    <w:p w:rsidR="00E33932" w:rsidRPr="00A84E00" w:rsidRDefault="00E33932" w:rsidP="00E33932">
      <w:pPr>
        <w:pStyle w:val="Szvegtrzs"/>
        <w:tabs>
          <w:tab w:val="center" w:pos="0"/>
        </w:tabs>
        <w:spacing w:after="0" w:line="100" w:lineRule="atLeast"/>
        <w:ind w:right="227"/>
      </w:pPr>
      <w:r w:rsidRPr="00A84E00">
        <w:tab/>
      </w:r>
      <w:r w:rsidRPr="00A84E00">
        <w:tab/>
        <w:t>Vagyonhasznosítási és Ingatlan-nyilvántartási Iroda</w:t>
      </w:r>
    </w:p>
    <w:p w:rsidR="00E33932" w:rsidRPr="00A84E00" w:rsidRDefault="00E33932" w:rsidP="00E33932">
      <w:pPr>
        <w:pStyle w:val="Szvegtrzs"/>
        <w:spacing w:after="0" w:line="100" w:lineRule="atLeast"/>
        <w:ind w:right="227"/>
      </w:pPr>
      <w:r w:rsidRPr="00A84E00">
        <w:tab/>
      </w:r>
      <w:r w:rsidRPr="00A84E00">
        <w:tab/>
        <w:t>Irodavezető</w:t>
      </w: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  <w:r w:rsidRPr="00A84E00">
        <w:rPr>
          <w:b/>
        </w:rPr>
        <w:t>Egyeztetve:</w:t>
      </w:r>
      <w:r w:rsidRPr="00A84E00">
        <w:rPr>
          <w:b/>
        </w:rPr>
        <w:tab/>
      </w:r>
      <w:proofErr w:type="gramStart"/>
      <w:r w:rsidRPr="00A84E00">
        <w:t>………………………………</w:t>
      </w:r>
      <w:proofErr w:type="gramEnd"/>
    </w:p>
    <w:p w:rsidR="00E33932" w:rsidRPr="00A84E00" w:rsidRDefault="00E33932" w:rsidP="00E33932">
      <w:pPr>
        <w:pStyle w:val="Szvegtrzs"/>
        <w:tabs>
          <w:tab w:val="center" w:pos="0"/>
        </w:tabs>
        <w:spacing w:after="0" w:line="100" w:lineRule="atLeast"/>
        <w:ind w:right="227"/>
      </w:pPr>
      <w:r w:rsidRPr="00A84E00">
        <w:tab/>
      </w:r>
      <w:r w:rsidRPr="00A84E00">
        <w:tab/>
        <w:t>Dankó Virág</w:t>
      </w:r>
    </w:p>
    <w:p w:rsidR="00E33932" w:rsidRPr="00A84E00" w:rsidRDefault="00E33932" w:rsidP="00E33932">
      <w:pPr>
        <w:pStyle w:val="Szvegtrzs"/>
        <w:tabs>
          <w:tab w:val="center" w:pos="0"/>
        </w:tabs>
        <w:spacing w:after="0" w:line="100" w:lineRule="atLeast"/>
        <w:ind w:right="227"/>
      </w:pPr>
      <w:r w:rsidRPr="00A84E00">
        <w:tab/>
      </w:r>
      <w:r w:rsidRPr="00A84E00">
        <w:tab/>
        <w:t>Alpolgármester</w:t>
      </w: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tabs>
          <w:tab w:val="center" w:pos="2835"/>
        </w:tabs>
        <w:spacing w:after="0" w:line="100" w:lineRule="atLeast"/>
        <w:ind w:right="227"/>
      </w:pPr>
      <w:r w:rsidRPr="00A84E00">
        <w:rPr>
          <w:b/>
        </w:rPr>
        <w:t>Látta:</w:t>
      </w:r>
      <w:r w:rsidRPr="00A84E00">
        <w:rPr>
          <w:b/>
        </w:rPr>
        <w:tab/>
      </w:r>
      <w:proofErr w:type="gramStart"/>
      <w:r w:rsidRPr="00A84E00">
        <w:t>………………………………</w:t>
      </w:r>
      <w:proofErr w:type="gramEnd"/>
    </w:p>
    <w:p w:rsidR="00E33932" w:rsidRPr="00A84E00" w:rsidRDefault="00E33932" w:rsidP="00E33932">
      <w:pPr>
        <w:pStyle w:val="Szvegtrzs"/>
        <w:tabs>
          <w:tab w:val="center" w:pos="0"/>
        </w:tabs>
        <w:spacing w:after="0" w:line="100" w:lineRule="atLeast"/>
        <w:ind w:right="227"/>
      </w:pPr>
      <w:r w:rsidRPr="00A84E00">
        <w:tab/>
      </w:r>
      <w:r w:rsidRPr="00A84E00">
        <w:tab/>
      </w:r>
      <w:proofErr w:type="gramStart"/>
      <w:r w:rsidRPr="00A84E00">
        <w:t>dr.</w:t>
      </w:r>
      <w:proofErr w:type="gramEnd"/>
      <w:r w:rsidRPr="00A84E00">
        <w:t xml:space="preserve"> Szalai Tibor</w:t>
      </w:r>
    </w:p>
    <w:p w:rsidR="00E33932" w:rsidRPr="00A84E00" w:rsidRDefault="00E33932" w:rsidP="00E33932">
      <w:pPr>
        <w:pStyle w:val="Szvegtrzs"/>
        <w:tabs>
          <w:tab w:val="center" w:pos="0"/>
        </w:tabs>
        <w:spacing w:after="0" w:line="100" w:lineRule="atLeast"/>
        <w:ind w:right="227"/>
      </w:pPr>
      <w:r w:rsidRPr="00A84E00">
        <w:tab/>
      </w:r>
      <w:r w:rsidRPr="00A84E00">
        <w:tab/>
        <w:t>Jegyző</w:t>
      </w:r>
    </w:p>
    <w:p w:rsidR="00E33932" w:rsidRPr="00A84E00" w:rsidRDefault="00E33932" w:rsidP="00E33932">
      <w:pPr>
        <w:pStyle w:val="Szvegtrzs"/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both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both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both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both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both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right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right"/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right"/>
      </w:pPr>
      <w:r w:rsidRPr="00A84E00">
        <w:t>A napirend tárgyalása zárt ülést nem igényel!</w:t>
      </w: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both"/>
        <w:rPr>
          <w:b/>
          <w:bCs/>
        </w:rPr>
      </w:pPr>
    </w:p>
    <w:p w:rsidR="00E33932" w:rsidRPr="00A84E00" w:rsidRDefault="00E33932" w:rsidP="00E33932">
      <w:pPr>
        <w:pStyle w:val="Szvegtrzs"/>
        <w:spacing w:after="0" w:line="100" w:lineRule="atLeast"/>
        <w:ind w:right="227"/>
        <w:jc w:val="center"/>
        <w:rPr>
          <w:b/>
          <w:bCs/>
        </w:rPr>
      </w:pPr>
      <w:r w:rsidRPr="00A84E00">
        <w:rPr>
          <w:b/>
          <w:bCs/>
        </w:rPr>
        <w:lastRenderedPageBreak/>
        <w:t>Tisztelt Képviselő-testület!</w:t>
      </w:r>
    </w:p>
    <w:p w:rsidR="00E33932" w:rsidRPr="00A84E00" w:rsidRDefault="00E33932" w:rsidP="00E33932"/>
    <w:p w:rsidR="00E33932" w:rsidRPr="00A84E00" w:rsidRDefault="00E33932" w:rsidP="00E33932">
      <w:pPr>
        <w:jc w:val="both"/>
      </w:pPr>
      <w:r w:rsidRPr="00A84E00">
        <w:t xml:space="preserve">A Budapest II. kerület, 11489/4 helyrajzi számú, természetben a 1021 Budapest II. kerület </w:t>
      </w:r>
      <w:r w:rsidRPr="00A84E00">
        <w:rPr>
          <w:bCs/>
        </w:rPr>
        <w:t xml:space="preserve">Napraforgó utca 19. </w:t>
      </w:r>
      <w:r w:rsidRPr="00A84E00">
        <w:t>szám alatt található, 361 m</w:t>
      </w:r>
      <w:r w:rsidRPr="00A84E00">
        <w:rPr>
          <w:vertAlign w:val="superscript"/>
        </w:rPr>
        <w:t>2</w:t>
      </w:r>
      <w:r w:rsidRPr="00A84E00">
        <w:t xml:space="preserve"> területű, „kivett lakóház, udvar” megnevezésű, „műemlék” jogi jellegű ingatlan 1/</w:t>
      </w:r>
      <w:proofErr w:type="spellStart"/>
      <w:r w:rsidRPr="00A84E00">
        <w:t>1</w:t>
      </w:r>
      <w:proofErr w:type="spellEnd"/>
      <w:r w:rsidRPr="00A84E00">
        <w:t xml:space="preserve"> arányban a Budapest Főváros II. Kerületi Önkormányzat tulajdona.</w:t>
      </w:r>
    </w:p>
    <w:p w:rsidR="00E33932" w:rsidRPr="00A84E00" w:rsidRDefault="00E33932" w:rsidP="00E33932">
      <w:pPr>
        <w:ind w:right="-1"/>
        <w:jc w:val="both"/>
      </w:pPr>
    </w:p>
    <w:p w:rsidR="00E33932" w:rsidRPr="00A84E00" w:rsidRDefault="00E33932" w:rsidP="00E33932">
      <w:pPr>
        <w:jc w:val="both"/>
      </w:pPr>
      <w:r w:rsidRPr="00A84E00">
        <w:t>Az ingatlan L6-II-07 jelű, hegyvidéki, kertvárosias lakóterület építési övezetben helyezkedik el. Az ingatlan beépítésére vonatkozó, hatályos előírásokat a Budapest Főváros II. Kerületi Önkormányzat Képviselő-testületének a Bp., II. Kerületi Városrendezési és Építési Szabályzatról szóló 2/2007.(I.18.) önkormányzati rendelete (KVSZ) tartalmazza. A KVSZ előírásai szerint a beépítés módja szabadon álló, a legkisebb kialakítható telekméret 1000 m</w:t>
      </w:r>
      <w:r w:rsidRPr="00A84E00">
        <w:rPr>
          <w:vertAlign w:val="superscript"/>
        </w:rPr>
        <w:t>2</w:t>
      </w:r>
      <w:r w:rsidRPr="00A84E00">
        <w:t>, a terület legnagyobb beépítettsége 15%, a szintterületi mutató megengedett legnagyobb mértéke 0.30 m</w:t>
      </w:r>
      <w:r w:rsidRPr="00A84E00">
        <w:rPr>
          <w:vertAlign w:val="superscript"/>
        </w:rPr>
        <w:t>2</w:t>
      </w:r>
      <w:r w:rsidRPr="00A84E00">
        <w:t>/</w:t>
      </w:r>
      <w:proofErr w:type="spellStart"/>
      <w:r w:rsidRPr="00A84E00">
        <w:t>m</w:t>
      </w:r>
      <w:r w:rsidRPr="00A84E00">
        <w:rPr>
          <w:vertAlign w:val="superscript"/>
        </w:rPr>
        <w:t>2</w:t>
      </w:r>
      <w:proofErr w:type="spellEnd"/>
      <w:r w:rsidRPr="00A84E00">
        <w:t xml:space="preserve"> kizárólag tetőtérben és tetőemeleten 0.10 m</w:t>
      </w:r>
      <w:r w:rsidRPr="00A84E00">
        <w:rPr>
          <w:vertAlign w:val="superscript"/>
        </w:rPr>
        <w:t>2</w:t>
      </w:r>
      <w:r w:rsidRPr="00A84E00">
        <w:t>/</w:t>
      </w:r>
      <w:proofErr w:type="spellStart"/>
      <w:r w:rsidRPr="00A84E00">
        <w:t>m</w:t>
      </w:r>
      <w:r w:rsidRPr="00A84E00">
        <w:rPr>
          <w:vertAlign w:val="superscript"/>
        </w:rPr>
        <w:t>2</w:t>
      </w:r>
      <w:proofErr w:type="spellEnd"/>
      <w:r w:rsidRPr="00A84E00">
        <w:t>, a legkisebb zöldfelület 75%, a megengedett legnagyobb építménymagasság 7,5 m.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t xml:space="preserve">Az ingatlan műemléki védelem alatt áll (törzsszám: 15208), a telken álló épület tagja az 1931-ben épült </w:t>
      </w:r>
      <w:proofErr w:type="spellStart"/>
      <w:r w:rsidRPr="00A84E00">
        <w:t>bauhaus</w:t>
      </w:r>
      <w:proofErr w:type="spellEnd"/>
      <w:r w:rsidRPr="00A84E00">
        <w:t xml:space="preserve"> kislakásos mintatelepnek, így kiemelt jelentőségű kerületünk kulturális öröksége szempontjából. Tekintettel az ingatlan műemléki védettségére, az ingatlant érintő építési engedélyezési ügyekben első fokon a Budapest Főváros Kormányhivatala I. Kerületi Építésügyi és Örökségvédelmi Hivatala Örökségvédelmi Osztály (1012 Budapest, </w:t>
      </w:r>
      <w:proofErr w:type="spellStart"/>
      <w:r w:rsidRPr="00A84E00">
        <w:t>Logodi</w:t>
      </w:r>
      <w:proofErr w:type="spellEnd"/>
      <w:r w:rsidRPr="00A84E00">
        <w:t xml:space="preserve"> u. 38-40.) rendelkezik hatáskörrel és illetékességgel.</w:t>
      </w:r>
    </w:p>
    <w:p w:rsidR="00E33932" w:rsidRPr="00A84E00" w:rsidRDefault="00E33932" w:rsidP="00E33932">
      <w:pPr>
        <w:jc w:val="both"/>
      </w:pPr>
      <w:r w:rsidRPr="00A84E00">
        <w:t>Az Országos Építésügyi Nyilvántartás alapján az ingatlan műemléki környezet (törzsszám: 15161).</w:t>
      </w:r>
    </w:p>
    <w:p w:rsidR="00E33932" w:rsidRPr="00A84E00" w:rsidRDefault="00E33932" w:rsidP="00E33932">
      <w:pPr>
        <w:jc w:val="both"/>
      </w:pPr>
      <w:r w:rsidRPr="00A84E00">
        <w:t xml:space="preserve">Az ingatlan a Budapesti Városrendezési és Építési keretszabályzatról szóló 47/1998.(X.15.) Főv. Kgy. </w:t>
      </w:r>
      <w:proofErr w:type="gramStart"/>
      <w:r w:rsidRPr="00A84E00">
        <w:t>rendelet</w:t>
      </w:r>
      <w:proofErr w:type="gramEnd"/>
      <w:r w:rsidRPr="00A84E00">
        <w:t xml:space="preserve"> alapján városkép szempontjából kiemelt útvonal mentén helyezkedik el.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  <w:rPr>
          <w:bCs/>
        </w:rPr>
      </w:pPr>
      <w:r w:rsidRPr="00A84E00">
        <w:t>Az épület a földszinten egy 62 m</w:t>
      </w:r>
      <w:r w:rsidRPr="00A84E00">
        <w:rPr>
          <w:vertAlign w:val="superscript"/>
        </w:rPr>
        <w:t>2</w:t>
      </w:r>
      <w:r w:rsidRPr="00A84E00">
        <w:t xml:space="preserve"> alapterületű, az emeleten egy 65 m</w:t>
      </w:r>
      <w:r w:rsidRPr="00A84E00">
        <w:rPr>
          <w:vertAlign w:val="superscript"/>
        </w:rPr>
        <w:t>2</w:t>
      </w:r>
      <w:r w:rsidRPr="00A84E00">
        <w:t xml:space="preserve"> alapterületű lakást</w:t>
      </w:r>
      <w:r w:rsidRPr="00A84E00">
        <w:rPr>
          <w:bCs/>
        </w:rPr>
        <w:t xml:space="preserve"> foglal magában. </w:t>
      </w:r>
      <w:r w:rsidR="002556AB" w:rsidRPr="00A84E00">
        <w:rPr>
          <w:bCs/>
        </w:rPr>
        <w:t xml:space="preserve">A Budapest II. kerület Napraforgó u. 19. </w:t>
      </w:r>
      <w:r w:rsidRPr="00A84E00">
        <w:rPr>
          <w:bCs/>
        </w:rPr>
        <w:t>I. em. 1. szám alatti lakás bérlője Galgóczi Anita. A 2007. január 15. napján kelt bérleti szerződés alapján a bérleti jogviszony határozatlan időre szól. A fszt. 1. szám alatti lakás üres, használaton kívül áll.</w:t>
      </w:r>
    </w:p>
    <w:p w:rsidR="00E33932" w:rsidRPr="00A84E00" w:rsidRDefault="00E33932" w:rsidP="00E33932">
      <w:pPr>
        <w:pStyle w:val="Szvegtrzs"/>
        <w:spacing w:after="0"/>
        <w:jc w:val="both"/>
      </w:pPr>
    </w:p>
    <w:p w:rsidR="000F0BC0" w:rsidRPr="00A84E00" w:rsidRDefault="00E33932" w:rsidP="000F0BC0">
      <w:pPr>
        <w:jc w:val="both"/>
      </w:pPr>
      <w:r w:rsidRPr="00A84E00">
        <w:t xml:space="preserve">Az ingatlanforgalmi szakértő az ingatlan forgalmi értékét figyelemmel annak részbeni lakottságára </w:t>
      </w:r>
      <w:r w:rsidR="00F31F02" w:rsidRPr="00A84E00">
        <w:t xml:space="preserve">a 2014. május 13. napján kelt értékbecslésében </w:t>
      </w:r>
      <w:r w:rsidR="006A19DF" w:rsidRPr="00A84E00">
        <w:t>67.000</w:t>
      </w:r>
      <w:r w:rsidRPr="00A84E00">
        <w:t>.000.- Ft összegre becsülte</w:t>
      </w:r>
      <w:r w:rsidR="00405AF8" w:rsidRPr="00A84E00">
        <w:t>.</w:t>
      </w:r>
      <w:r w:rsidR="00574FA4" w:rsidRPr="00A84E00">
        <w:t xml:space="preserve"> </w:t>
      </w:r>
      <w:r w:rsidR="0089048C" w:rsidRPr="00A84E00">
        <w:t xml:space="preserve">Budapest Főváros II. Kerületi Önkormányzat Képviselő-testülete 143/2014.(V.22.) határozatában úgy döntött, hogy az ingatlant nyilvános pályázat keretében értékesíti. Az ingatlan </w:t>
      </w:r>
      <w:r w:rsidR="000F0BC0" w:rsidRPr="00A84E00">
        <w:t>pályázati kiírására 2014. június 2. napjától 2014. június 27. napjáig került s</w:t>
      </w:r>
      <w:r w:rsidR="00913DD9">
        <w:t xml:space="preserve">or. </w:t>
      </w:r>
      <w:r w:rsidR="000F0BC0" w:rsidRPr="00A84E00">
        <w:t xml:space="preserve">Az ingatlan iránt igen nagy volt az érdeklődés, azonban </w:t>
      </w:r>
      <w:r w:rsidR="0089048C" w:rsidRPr="00A84E00">
        <w:t xml:space="preserve">jelentkező hiányában </w:t>
      </w:r>
      <w:r w:rsidR="000F0BC0" w:rsidRPr="00A84E00">
        <w:t xml:space="preserve">a pályázat </w:t>
      </w:r>
      <w:r w:rsidR="0089048C" w:rsidRPr="00A84E00">
        <w:t>eredménytelenül zárult</w:t>
      </w:r>
      <w:r w:rsidR="000F0BC0" w:rsidRPr="00A84E00">
        <w:t xml:space="preserve">. Az ingatlanértékesítésből tervezett bevételek teljesítése és az eredményes értékesítés érdekében </w:t>
      </w:r>
      <w:r w:rsidR="00DB67D9" w:rsidRPr="00A84E00">
        <w:t>célszerű</w:t>
      </w:r>
      <w:r w:rsidR="000F0BC0" w:rsidRPr="00A84E00">
        <w:t xml:space="preserve"> az induló ár 10%-os csökkentése.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t>A nemzeti vagyonról szóló 2011. évi CXCVI. törvény 13. § (1) bekezdése alapján törvényben, valamint a helyi önkormányzat tulajdonában álló nemzeti vagyon tekintetében törvényben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t xml:space="preserve">Az Önkormányzat vagyonáról és a vagyontárgyak feletti tulajdonosi jog gyakorlásáról, továbbá az önkormányzat tulajdonában lévő lakások és helyiségek elidegenítésének szabályairól, </w:t>
      </w:r>
      <w:r w:rsidRPr="00A84E00">
        <w:lastRenderedPageBreak/>
        <w:t>bérbeadásnak feltételeiről szóló 34/2004.(X.13.) önkormányzati rendelet (Vagyonrendelet) 20. § (1) bekezdése szerint a vagyontárgy elidegenítéséről a 6. § (2) bekezdésére figyelemmel a Képviselő-testület, vagy a GTB - határozattal - dönt, figyelemmel a nemzeti vagyonról szóló 2011. évi CXCVI. törvényre. A 6. § (2) bekezdése alapján a vagyontárgy – ha a törvény kivételt nem tesz – kizárólag nyilvános versenytárgyalás útján értékesíthető, ha a forgalmi értéke meghaladja a mindenkor hatályos központi költségvetésről szóló törvényben meghatározott értékhatárt.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t>Magyarország 2014. évi központi költségvetéséről szóló 2013. évi CCXXX. törvény értelmében az Nvtv. 13. § (1) bekezdésében meghatározott értékhatár a 2014. évben 25,0 millió forint egyedi bruttó forgalmi érték.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  <w:rPr>
          <w:i/>
        </w:rPr>
      </w:pPr>
      <w:r w:rsidRPr="00A84E00">
        <w:t>Az ingatlanforgalmi szakvéleményre tekintettel a döntésre a Vagyonrendelet 6.§ (2) bekezdése alapján a Képviselő-testület jogosult, az ingatlan értékesítésére versenyeztetés útján kerülhet sor.</w:t>
      </w:r>
    </w:p>
    <w:p w:rsidR="00E33932" w:rsidRPr="00A84E00" w:rsidRDefault="00E33932" w:rsidP="00E33932">
      <w:pPr>
        <w:jc w:val="both"/>
        <w:rPr>
          <w:bCs/>
        </w:rPr>
      </w:pPr>
    </w:p>
    <w:p w:rsidR="00E33932" w:rsidRPr="00A84E00" w:rsidRDefault="00E33932" w:rsidP="00E33932">
      <w:pPr>
        <w:jc w:val="both"/>
      </w:pPr>
      <w:r w:rsidRPr="00A84E00">
        <w:rPr>
          <w:bCs/>
        </w:rPr>
        <w:t>A Képviselő-testület által kialakított bizottságok hatásköréről, a bizottságok és tanácsnokok feladatköréről szóló</w:t>
      </w:r>
      <w:r w:rsidRPr="00A84E00">
        <w:t xml:space="preserve"> 45/2001.(XII.22.) rendelet 1. mellékletének 4.1. pontja alapján a Gazdasági és Tulajdonosi Bizottságnak véleményezési joga van.</w:t>
      </w:r>
    </w:p>
    <w:p w:rsidR="00E33932" w:rsidRPr="00A84E00" w:rsidRDefault="00E33932" w:rsidP="00E33932">
      <w:pPr>
        <w:jc w:val="both"/>
      </w:pPr>
      <w:r w:rsidRPr="00A84E00">
        <w:t>A Gazdasági és Tulajdonosi Bizottság az előterjesztést megtárgyalta, javaslata az ülésen kerül ismertetésre.</w:t>
      </w:r>
    </w:p>
    <w:p w:rsidR="00DB67D9" w:rsidRPr="00A84E00" w:rsidRDefault="00DB67D9" w:rsidP="00E33932"/>
    <w:p w:rsidR="00E33932" w:rsidRPr="00A84E00" w:rsidRDefault="00E33932" w:rsidP="002556AB">
      <w:pPr>
        <w:pStyle w:val="Cmsor2"/>
        <w:suppressAutoHyphens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4E00">
        <w:rPr>
          <w:rFonts w:ascii="Times New Roman" w:hAnsi="Times New Roman" w:cs="Times New Roman"/>
          <w:i w:val="0"/>
          <w:sz w:val="24"/>
          <w:szCs w:val="24"/>
        </w:rPr>
        <w:t>Határozati javaslatok</w:t>
      </w:r>
    </w:p>
    <w:p w:rsidR="00E33932" w:rsidRPr="00A84E00" w:rsidRDefault="00E33932" w:rsidP="00E33932">
      <w:pPr>
        <w:jc w:val="both"/>
      </w:pPr>
    </w:p>
    <w:p w:rsidR="00F3147E" w:rsidRPr="00A84E00" w:rsidRDefault="00E33932" w:rsidP="00E33932">
      <w:pPr>
        <w:jc w:val="both"/>
        <w:rPr>
          <w:b/>
        </w:rPr>
      </w:pPr>
      <w:r w:rsidRPr="00A84E00">
        <w:rPr>
          <w:b/>
        </w:rPr>
        <w:t>A.</w:t>
      </w:r>
    </w:p>
    <w:p w:rsidR="00F31F02" w:rsidRPr="00A84E00" w:rsidRDefault="00F31F02" w:rsidP="00E33932">
      <w:pPr>
        <w:jc w:val="both"/>
        <w:rPr>
          <w:b/>
        </w:rPr>
      </w:pPr>
      <w:r w:rsidRPr="00A84E00">
        <w:t xml:space="preserve">A Képviselő-testület úgy dönt, hogy a Budapest Főváros II. Kerületi Önkormányzat tulajdonát képező 11489/4 helyrajzi számú, természetben a 1021 </w:t>
      </w:r>
      <w:r w:rsidRPr="00A84E00">
        <w:rPr>
          <w:bCs/>
        </w:rPr>
        <w:t xml:space="preserve">Budapest II. kerület Napraforgó utca 19. </w:t>
      </w:r>
      <w:r w:rsidRPr="00A84E00">
        <w:t>szám alatt található, az ingatlan-nyilvántartás szerint 361 m</w:t>
      </w:r>
      <w:r w:rsidRPr="00A84E00">
        <w:rPr>
          <w:vertAlign w:val="superscript"/>
        </w:rPr>
        <w:t>2</w:t>
      </w:r>
      <w:r w:rsidRPr="00A84E00">
        <w:t xml:space="preserve"> területű, „kivett lakóház, udvar” megnevezésű, „műemlék” jogi jellegű ingatlan vonatkozásában az induló árat 10%-os mértékben csökkenti, és azt 60.300.000.- Ft összeg</w:t>
      </w:r>
      <w:r w:rsidR="00A84E00" w:rsidRPr="00A84E00">
        <w:t>b</w:t>
      </w:r>
      <w:r w:rsidRPr="00A84E00">
        <w:t xml:space="preserve">en </w:t>
      </w:r>
      <w:r w:rsidR="00F3147E" w:rsidRPr="00A84E00">
        <w:t>határozza meg.</w:t>
      </w:r>
    </w:p>
    <w:p w:rsidR="00F31F02" w:rsidRPr="00A84E00" w:rsidRDefault="00F31F02" w:rsidP="00E33932">
      <w:pPr>
        <w:jc w:val="both"/>
        <w:rPr>
          <w:b/>
        </w:rPr>
      </w:pPr>
    </w:p>
    <w:p w:rsidR="00DB67D9" w:rsidRPr="00A84E00" w:rsidRDefault="00E33932" w:rsidP="00E33932">
      <w:pPr>
        <w:jc w:val="both"/>
      </w:pPr>
      <w:r w:rsidRPr="00A84E00">
        <w:t xml:space="preserve">A Képviselő-testület </w:t>
      </w:r>
      <w:r w:rsidR="00F3147E" w:rsidRPr="00A84E00">
        <w:t xml:space="preserve">továbbá </w:t>
      </w:r>
      <w:r w:rsidRPr="00A84E00">
        <w:t xml:space="preserve">úgy dönt, hogy a Budapest Főváros II. Kerületi Önkormányzat tulajdonát képező 11489/4 helyrajzi számú, természetben a 1021 </w:t>
      </w:r>
      <w:r w:rsidRPr="00A84E00">
        <w:rPr>
          <w:bCs/>
        </w:rPr>
        <w:t xml:space="preserve">Budapest II. kerület Napraforgó utca 19. </w:t>
      </w:r>
      <w:r w:rsidRPr="00A84E00">
        <w:t>szám alatt található, az ingatlan-nyilvántartás szerint 361 m</w:t>
      </w:r>
      <w:r w:rsidRPr="00A84E00">
        <w:rPr>
          <w:vertAlign w:val="superscript"/>
        </w:rPr>
        <w:t>2</w:t>
      </w:r>
      <w:r w:rsidRPr="00A84E00">
        <w:t xml:space="preserve"> területű, „kivett lakóház, udvar” megnevezésű, „műemlék” jogi jellegű ingatlant </w:t>
      </w:r>
      <w:r w:rsidRPr="00A84E00">
        <w:rPr>
          <w:color w:val="000000"/>
          <w:lang w:eastAsia="ar-SA"/>
        </w:rPr>
        <w:t xml:space="preserve">– figyelemmel </w:t>
      </w:r>
      <w:r w:rsidRPr="00A84E00">
        <w:t>a nemzeti vagyonról szóló 2011. évi CXCVI. törvény 13. § (1) bekezdésében, valamint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20. § (2) bekezdésében foglaltakra</w:t>
      </w:r>
      <w:r w:rsidR="00F31F02" w:rsidRPr="00A84E00">
        <w:t xml:space="preserve"> – nyilvános pályázat keretében értékesíti </w:t>
      </w:r>
      <w:r w:rsidRPr="00A84E00">
        <w:t>a jelen határozat mellékletét képező Pályázati Dokumentáció alapján, az azokban foglalt feltételekkel. Az Önkormányzat a Hirdetményt a Budai Polgárban, valamint az Önkormányzat honlapján, internetes hirdetési portálon és a Polgármesteri Hivatal Ügyfélszolgálati Központjának hirdetőtábláján teszi közzé.</w:t>
      </w:r>
    </w:p>
    <w:p w:rsidR="00E33932" w:rsidRPr="00A84E00" w:rsidRDefault="00E33932" w:rsidP="00E33932">
      <w:pPr>
        <w:jc w:val="both"/>
      </w:pPr>
      <w:r w:rsidRPr="00A84E00">
        <w:t>A Képviselő-testület felkéri a Polgármestert, hogy a szükséges intézkedéseket tegye meg.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rPr>
          <w:b/>
        </w:rPr>
        <w:t>Felelős:</w:t>
      </w:r>
      <w:r w:rsidRPr="00A84E00">
        <w:rPr>
          <w:b/>
        </w:rPr>
        <w:tab/>
      </w:r>
      <w:r w:rsidRPr="00A84E00">
        <w:rPr>
          <w:bCs/>
        </w:rPr>
        <w:t>polgármester</w:t>
      </w:r>
    </w:p>
    <w:p w:rsidR="00E33932" w:rsidRPr="00A84E00" w:rsidRDefault="00E33932" w:rsidP="00E33932">
      <w:pPr>
        <w:jc w:val="both"/>
        <w:rPr>
          <w:bCs/>
        </w:rPr>
      </w:pPr>
      <w:r w:rsidRPr="00A84E00">
        <w:rPr>
          <w:b/>
        </w:rPr>
        <w:t>Határidő:</w:t>
      </w:r>
      <w:r w:rsidRPr="00A84E00">
        <w:rPr>
          <w:b/>
        </w:rPr>
        <w:tab/>
      </w:r>
      <w:r w:rsidRPr="00A84E00">
        <w:t xml:space="preserve">90 nap </w:t>
      </w:r>
    </w:p>
    <w:p w:rsidR="00E33932" w:rsidRPr="00A84E00" w:rsidRDefault="00E33932" w:rsidP="00E33932">
      <w:pPr>
        <w:jc w:val="both"/>
        <w:rPr>
          <w:i/>
          <w:iCs/>
          <w:snapToGrid w:val="0"/>
        </w:rPr>
      </w:pPr>
    </w:p>
    <w:p w:rsidR="00E33932" w:rsidRPr="00A84E00" w:rsidRDefault="00E33932" w:rsidP="00E33932">
      <w:pPr>
        <w:jc w:val="both"/>
        <w:rPr>
          <w:i/>
          <w:iCs/>
          <w:snapToGrid w:val="0"/>
        </w:rPr>
      </w:pPr>
      <w:r w:rsidRPr="00A84E00">
        <w:rPr>
          <w:i/>
          <w:iCs/>
          <w:snapToGrid w:val="0"/>
        </w:rPr>
        <w:t>A határozat meghozatalához egyszerű többségű szavazati arány szükséges.</w:t>
      </w:r>
    </w:p>
    <w:p w:rsidR="00E33932" w:rsidRPr="00A84E00" w:rsidRDefault="00E33932" w:rsidP="00E33932">
      <w:pPr>
        <w:jc w:val="both"/>
        <w:rPr>
          <w:b/>
        </w:rPr>
      </w:pPr>
      <w:r w:rsidRPr="00A84E00">
        <w:rPr>
          <w:b/>
        </w:rPr>
        <w:t>B.</w:t>
      </w:r>
    </w:p>
    <w:p w:rsidR="00E33932" w:rsidRPr="00A84E00" w:rsidRDefault="00E33932" w:rsidP="00E33932">
      <w:pPr>
        <w:jc w:val="both"/>
      </w:pPr>
      <w:r w:rsidRPr="00A84E00">
        <w:t xml:space="preserve">A Képviselő-testület úgy dönt, hogy a Budapest Főváros II. Kerületi Önkormányzat tulajdonát képező, 11489/4 helyrajzi számú, természetben a 1021 </w:t>
      </w:r>
      <w:r w:rsidRPr="00A84E00">
        <w:rPr>
          <w:bCs/>
        </w:rPr>
        <w:t xml:space="preserve">Budapest II. kerület Napraforgó utca 19. </w:t>
      </w:r>
      <w:r w:rsidRPr="00A84E00">
        <w:t>szám alatt található, az ingatlan-nyilvántartás szerint 361 m</w:t>
      </w:r>
      <w:r w:rsidRPr="00A84E00">
        <w:rPr>
          <w:vertAlign w:val="superscript"/>
        </w:rPr>
        <w:t>2</w:t>
      </w:r>
      <w:r w:rsidRPr="00A84E00">
        <w:t xml:space="preserve"> területű, „kivett lakóház, udvar” megnevezésű, „műemlék” jogi jellegű ingatlant nem értékesíti.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t>A Képviselő-testület felkéri a Polgármestert, hogy a szükséges intézkedéseket tegye meg.</w:t>
      </w:r>
    </w:p>
    <w:p w:rsidR="00E33932" w:rsidRPr="00A84E00" w:rsidRDefault="00E33932" w:rsidP="00E33932">
      <w:pPr>
        <w:jc w:val="both"/>
      </w:pPr>
    </w:p>
    <w:p w:rsidR="00E33932" w:rsidRPr="00A84E00" w:rsidRDefault="00E33932" w:rsidP="00E33932">
      <w:pPr>
        <w:jc w:val="both"/>
      </w:pPr>
      <w:r w:rsidRPr="00A84E00">
        <w:rPr>
          <w:b/>
        </w:rPr>
        <w:t>Felelős:</w:t>
      </w:r>
      <w:r w:rsidRPr="00A84E00">
        <w:rPr>
          <w:b/>
        </w:rPr>
        <w:tab/>
      </w:r>
      <w:r w:rsidRPr="00A84E00">
        <w:rPr>
          <w:bCs/>
        </w:rPr>
        <w:t>polgármester</w:t>
      </w:r>
    </w:p>
    <w:p w:rsidR="00E33932" w:rsidRPr="00A84E00" w:rsidRDefault="00E33932" w:rsidP="00E33932">
      <w:pPr>
        <w:jc w:val="both"/>
        <w:rPr>
          <w:bCs/>
        </w:rPr>
      </w:pPr>
      <w:r w:rsidRPr="00A84E00">
        <w:rPr>
          <w:b/>
        </w:rPr>
        <w:t>Határidő:</w:t>
      </w:r>
      <w:r w:rsidRPr="00A84E00">
        <w:rPr>
          <w:b/>
        </w:rPr>
        <w:tab/>
      </w:r>
      <w:r w:rsidRPr="00A84E00">
        <w:t>30 nap</w:t>
      </w:r>
    </w:p>
    <w:p w:rsidR="00E33932" w:rsidRPr="00A84E00" w:rsidRDefault="00E33932" w:rsidP="00E33932">
      <w:pPr>
        <w:jc w:val="both"/>
        <w:rPr>
          <w:bCs/>
        </w:rPr>
      </w:pPr>
    </w:p>
    <w:p w:rsidR="00E33932" w:rsidRPr="00A84E00" w:rsidRDefault="00E33932" w:rsidP="00E33932">
      <w:pPr>
        <w:jc w:val="both"/>
        <w:rPr>
          <w:i/>
          <w:iCs/>
          <w:snapToGrid w:val="0"/>
        </w:rPr>
      </w:pPr>
      <w:r w:rsidRPr="00A84E00">
        <w:rPr>
          <w:i/>
          <w:iCs/>
          <w:snapToGrid w:val="0"/>
        </w:rPr>
        <w:t>A határozat meghozatalához egyszerű többségű szavazati arány szükséges.</w:t>
      </w:r>
    </w:p>
    <w:p w:rsidR="00BB3987" w:rsidRPr="00A84E00" w:rsidRDefault="00BB3987" w:rsidP="00E33932">
      <w:pPr>
        <w:pStyle w:val="Szvegtrzs"/>
        <w:tabs>
          <w:tab w:val="center" w:pos="6795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6795"/>
        </w:tabs>
        <w:spacing w:after="0" w:line="100" w:lineRule="atLeast"/>
        <w:ind w:right="-2"/>
        <w:jc w:val="both"/>
      </w:pPr>
    </w:p>
    <w:p w:rsidR="00E33932" w:rsidRPr="00A84E00" w:rsidRDefault="00E33932" w:rsidP="00E33932">
      <w:pPr>
        <w:pStyle w:val="Szvegtrzs"/>
        <w:tabs>
          <w:tab w:val="center" w:pos="6795"/>
        </w:tabs>
        <w:spacing w:after="0" w:line="100" w:lineRule="atLeast"/>
        <w:ind w:right="-2"/>
        <w:jc w:val="both"/>
      </w:pPr>
      <w:r w:rsidRPr="00A84E00">
        <w:t xml:space="preserve">Budapest, 2014. </w:t>
      </w:r>
      <w:r w:rsidR="00F3147E" w:rsidRPr="00A84E00">
        <w:t>november</w:t>
      </w:r>
      <w:r w:rsidRPr="00A84E00">
        <w:t xml:space="preserve"> 1</w:t>
      </w:r>
      <w:r w:rsidR="00F3147E" w:rsidRPr="00A84E00">
        <w:t>2</w:t>
      </w:r>
      <w:r w:rsidRPr="00A84E00">
        <w:t>.</w:t>
      </w:r>
    </w:p>
    <w:p w:rsidR="00E33932" w:rsidRPr="00A84E00" w:rsidRDefault="00E33932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E33932" w:rsidRPr="00A84E00" w:rsidRDefault="00E33932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E33932" w:rsidRPr="00A84E00" w:rsidRDefault="00E33932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  <w:rPr>
          <w:b/>
          <w:bCs/>
        </w:rPr>
      </w:pPr>
      <w:r w:rsidRPr="00A84E00">
        <w:tab/>
      </w:r>
      <w:r w:rsidRPr="00A84E00">
        <w:rPr>
          <w:b/>
        </w:rPr>
        <w:t>D</w:t>
      </w:r>
      <w:r w:rsidRPr="00A84E00">
        <w:rPr>
          <w:b/>
          <w:bCs/>
        </w:rPr>
        <w:t>r. Láng Zsolt</w:t>
      </w:r>
    </w:p>
    <w:p w:rsidR="00E33932" w:rsidRPr="00A84E00" w:rsidRDefault="00E33932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  <w:r w:rsidRPr="00A84E00">
        <w:tab/>
      </w:r>
      <w:proofErr w:type="gramStart"/>
      <w:r w:rsidRPr="00A84E00">
        <w:t>polgármester</w:t>
      </w:r>
      <w:proofErr w:type="gramEnd"/>
    </w:p>
    <w:p w:rsidR="006A19DF" w:rsidRPr="00A84E00" w:rsidRDefault="006A19DF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A84E00" w:rsidRPr="00A84E00" w:rsidRDefault="00A84E00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DB67D9" w:rsidRPr="00A84E00" w:rsidRDefault="00DB67D9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DB67D9" w:rsidRPr="00A84E00" w:rsidRDefault="00DB67D9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BB3987" w:rsidRPr="00A84E00" w:rsidRDefault="00BB3987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405AF8" w:rsidRPr="00A84E00" w:rsidRDefault="00405AF8" w:rsidP="00E33932">
      <w:pPr>
        <w:pStyle w:val="Szvegtrzs"/>
        <w:tabs>
          <w:tab w:val="center" w:pos="7371"/>
        </w:tabs>
        <w:spacing w:after="0" w:line="100" w:lineRule="atLeast"/>
        <w:ind w:right="-2"/>
        <w:jc w:val="both"/>
      </w:pPr>
    </w:p>
    <w:p w:rsidR="006A19DF" w:rsidRPr="00A84E00" w:rsidRDefault="006A19DF" w:rsidP="00405AF8"/>
    <w:p w:rsidR="0066513D" w:rsidRPr="00A84E00" w:rsidRDefault="00405AF8" w:rsidP="00405AF8">
      <w:r w:rsidRPr="00A84E00">
        <w:rPr>
          <w:b/>
        </w:rPr>
        <w:t>A.) Határozati javaslat melléklete:</w:t>
      </w:r>
      <w:r w:rsidRPr="00A84E00">
        <w:tab/>
      </w:r>
      <w:r w:rsidR="00BB3987" w:rsidRPr="00A84E00">
        <w:tab/>
      </w:r>
      <w:hyperlink r:id="rId7" w:history="1">
        <w:r w:rsidR="00E33932" w:rsidRPr="00140746">
          <w:rPr>
            <w:rStyle w:val="Hiperhivatkozs"/>
          </w:rPr>
          <w:t>Pályázati D</w:t>
        </w:r>
        <w:bookmarkStart w:id="0" w:name="_GoBack"/>
        <w:r w:rsidR="00E33932" w:rsidRPr="00140746">
          <w:rPr>
            <w:rStyle w:val="Hiperhivatkozs"/>
          </w:rPr>
          <w:t>o</w:t>
        </w:r>
        <w:bookmarkEnd w:id="0"/>
        <w:r w:rsidR="00E33932" w:rsidRPr="00140746">
          <w:rPr>
            <w:rStyle w:val="Hiperhivatkozs"/>
          </w:rPr>
          <w:t>kumentáció</w:t>
        </w:r>
      </w:hyperlink>
    </w:p>
    <w:sectPr w:rsidR="0066513D" w:rsidRPr="00A84E00" w:rsidSect="002E59D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56" w:rsidRDefault="00715E56" w:rsidP="00E33932">
      <w:r>
        <w:separator/>
      </w:r>
    </w:p>
  </w:endnote>
  <w:endnote w:type="continuationSeparator" w:id="0">
    <w:p w:rsidR="00715E56" w:rsidRDefault="00715E56" w:rsidP="00E3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D7" w:rsidRDefault="00916D11">
    <w:pPr>
      <w:pStyle w:val="llb"/>
      <w:jc w:val="right"/>
    </w:pPr>
    <w:r>
      <w:fldChar w:fldCharType="begin"/>
    </w:r>
    <w:r w:rsidR="002B327B">
      <w:instrText>PAGE   \* MERGEFORMAT</w:instrText>
    </w:r>
    <w:r>
      <w:fldChar w:fldCharType="separate"/>
    </w:r>
    <w:r w:rsidR="00140746">
      <w:rPr>
        <w:noProof/>
      </w:rPr>
      <w:t>2</w:t>
    </w:r>
    <w:r>
      <w:fldChar w:fldCharType="end"/>
    </w:r>
  </w:p>
  <w:p w:rsidR="002E59D7" w:rsidRDefault="001407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56" w:rsidRDefault="00715E56" w:rsidP="00E33932">
      <w:r>
        <w:separator/>
      </w:r>
    </w:p>
  </w:footnote>
  <w:footnote w:type="continuationSeparator" w:id="0">
    <w:p w:rsidR="00715E56" w:rsidRDefault="00715E56" w:rsidP="00E3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BB287A"/>
    <w:multiLevelType w:val="hybridMultilevel"/>
    <w:tmpl w:val="12B03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6570"/>
    <w:multiLevelType w:val="hybridMultilevel"/>
    <w:tmpl w:val="6A0CE80A"/>
    <w:lvl w:ilvl="0" w:tplc="C91E0574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AEE9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 w:hint="default"/>
      </w:rPr>
    </w:lvl>
    <w:lvl w:ilvl="2" w:tplc="34E0EA68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3" w:tplc="930E0F22">
      <w:start w:val="11"/>
      <w:numFmt w:val="decimal"/>
      <w:lvlText w:val="%4-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2"/>
    <w:rsid w:val="000F0BC0"/>
    <w:rsid w:val="00140746"/>
    <w:rsid w:val="002556AB"/>
    <w:rsid w:val="002B327B"/>
    <w:rsid w:val="00375289"/>
    <w:rsid w:val="00405AF8"/>
    <w:rsid w:val="00416CC7"/>
    <w:rsid w:val="005016AC"/>
    <w:rsid w:val="00541FB3"/>
    <w:rsid w:val="00574FA4"/>
    <w:rsid w:val="0066513D"/>
    <w:rsid w:val="006A19DF"/>
    <w:rsid w:val="006B002C"/>
    <w:rsid w:val="006E57AD"/>
    <w:rsid w:val="00715E56"/>
    <w:rsid w:val="00726AF0"/>
    <w:rsid w:val="007D1F80"/>
    <w:rsid w:val="0089048C"/>
    <w:rsid w:val="00913DD9"/>
    <w:rsid w:val="00916D11"/>
    <w:rsid w:val="00A14F32"/>
    <w:rsid w:val="00A84E00"/>
    <w:rsid w:val="00BB3987"/>
    <w:rsid w:val="00BF68F8"/>
    <w:rsid w:val="00D32B70"/>
    <w:rsid w:val="00DB67D9"/>
    <w:rsid w:val="00E33932"/>
    <w:rsid w:val="00F3147E"/>
    <w:rsid w:val="00F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F7B4-FACB-4DFC-B093-D9EFE2DE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932"/>
    <w:pPr>
      <w:widowControl w:val="0"/>
      <w:suppressAutoHyphens/>
    </w:pPr>
    <w:rPr>
      <w:rFonts w:eastAsia="Arial Unicode MS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6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F68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F6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BF68F8"/>
    <w:pPr>
      <w:suppressAutoHyphens w:val="0"/>
      <w:spacing w:before="240" w:after="60"/>
      <w:outlineLvl w:val="4"/>
    </w:pPr>
    <w:rPr>
      <w:b/>
      <w:bCs/>
      <w:i/>
      <w:iCs/>
      <w:lang w:eastAsia="en-US"/>
    </w:rPr>
  </w:style>
  <w:style w:type="paragraph" w:styleId="Cmsor6">
    <w:name w:val="heading 6"/>
    <w:basedOn w:val="Norml"/>
    <w:next w:val="Norml"/>
    <w:link w:val="Cmsor6Char"/>
    <w:qFormat/>
    <w:rsid w:val="00BF68F8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8F8"/>
    <w:rPr>
      <w:rFonts w:ascii="Arial" w:hAnsi="Arial" w:cs="Arial"/>
      <w:b/>
      <w:bCs/>
      <w:kern w:val="32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rsid w:val="00BF68F8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basedOn w:val="Bekezdsalapbettpusa"/>
    <w:link w:val="Cmsor3"/>
    <w:rsid w:val="00BF68F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Cmsor5Char">
    <w:name w:val="Címsor 5 Char"/>
    <w:link w:val="Cmsor5"/>
    <w:rsid w:val="00BF68F8"/>
    <w:rPr>
      <w:b/>
      <w:bCs/>
      <w:i/>
      <w:iCs/>
      <w:sz w:val="24"/>
      <w:szCs w:val="24"/>
      <w:lang w:val="hu-HU" w:eastAsia="en-US" w:bidi="ar-SA"/>
    </w:rPr>
  </w:style>
  <w:style w:type="character" w:customStyle="1" w:styleId="Cmsor6Char">
    <w:name w:val="Címsor 6 Char"/>
    <w:link w:val="Cmsor6"/>
    <w:rsid w:val="00BF68F8"/>
    <w:rPr>
      <w:b/>
      <w:bCs/>
      <w:sz w:val="28"/>
      <w:szCs w:val="28"/>
      <w:lang w:val="hu-HU" w:eastAsia="ar-SA" w:bidi="ar-SA"/>
    </w:rPr>
  </w:style>
  <w:style w:type="paragraph" w:styleId="Cm">
    <w:name w:val="Title"/>
    <w:basedOn w:val="Norml"/>
    <w:next w:val="Norml"/>
    <w:link w:val="CmChar"/>
    <w:qFormat/>
    <w:rsid w:val="00BF68F8"/>
    <w:pPr>
      <w:tabs>
        <w:tab w:val="left" w:pos="6946"/>
      </w:tabs>
      <w:autoSpaceDE w:val="0"/>
      <w:ind w:left="-284" w:right="3968" w:firstLine="1"/>
      <w:jc w:val="center"/>
    </w:pPr>
    <w:rPr>
      <w:b/>
      <w:bCs/>
    </w:rPr>
  </w:style>
  <w:style w:type="character" w:customStyle="1" w:styleId="CmChar">
    <w:name w:val="Cím Char"/>
    <w:link w:val="Cm"/>
    <w:rsid w:val="00BF68F8"/>
    <w:rPr>
      <w:b/>
      <w:bCs/>
      <w:sz w:val="24"/>
      <w:szCs w:val="24"/>
      <w:lang w:val="hu-HU" w:eastAsia="ar-SA" w:bidi="ar-SA"/>
    </w:rPr>
  </w:style>
  <w:style w:type="paragraph" w:styleId="Alcm">
    <w:name w:val="Subtitle"/>
    <w:basedOn w:val="Norml"/>
    <w:link w:val="AlcmChar"/>
    <w:qFormat/>
    <w:rsid w:val="00BF68F8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lcmChar">
    <w:name w:val="Alcím Char"/>
    <w:link w:val="Alcm"/>
    <w:rsid w:val="00BF68F8"/>
    <w:rPr>
      <w:rFonts w:ascii="Arial" w:eastAsiaTheme="majorEastAsia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BF68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1">
    <w:name w:val="Stílus1"/>
    <w:basedOn w:val="Cmsor1"/>
    <w:qFormat/>
    <w:rsid w:val="00BF68F8"/>
    <w:pPr>
      <w:keepNext w:val="0"/>
      <w:numPr>
        <w:numId w:val="1"/>
      </w:numPr>
      <w:suppressAutoHyphens w:val="0"/>
      <w:autoSpaceDE w:val="0"/>
      <w:autoSpaceDN w:val="0"/>
      <w:adjustRightInd w:val="0"/>
      <w:spacing w:after="240"/>
      <w:jc w:val="both"/>
    </w:pPr>
    <w:rPr>
      <w:rFonts w:eastAsia="Lucida Sans Unicode"/>
      <w:bCs w:val="0"/>
      <w:kern w:val="0"/>
      <w:sz w:val="28"/>
      <w:szCs w:val="28"/>
    </w:rPr>
  </w:style>
  <w:style w:type="paragraph" w:styleId="Szvegtrzs">
    <w:name w:val="Body Text"/>
    <w:basedOn w:val="Norml"/>
    <w:link w:val="SzvegtrzsChar"/>
    <w:rsid w:val="00E339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33932"/>
    <w:rPr>
      <w:rFonts w:eastAsia="Arial Unicode MS"/>
      <w:sz w:val="24"/>
      <w:szCs w:val="24"/>
    </w:rPr>
  </w:style>
  <w:style w:type="character" w:styleId="Lbjegyzet-hivatkozs">
    <w:name w:val="footnote reference"/>
    <w:autoRedefine/>
    <w:rsid w:val="00E33932"/>
    <w:rPr>
      <w:vertAlign w:val="superscript"/>
    </w:rPr>
  </w:style>
  <w:style w:type="paragraph" w:styleId="llb">
    <w:name w:val="footer"/>
    <w:basedOn w:val="Norml"/>
    <w:link w:val="llbChar"/>
    <w:uiPriority w:val="99"/>
    <w:rsid w:val="00E33932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3932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E339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33932"/>
    <w:rPr>
      <w:rFonts w:eastAsia="Arial Unicode MS"/>
    </w:rPr>
  </w:style>
  <w:style w:type="character" w:styleId="Hiperhivatkozs">
    <w:name w:val="Hyperlink"/>
    <w:basedOn w:val="Bekezdsalapbettpusa"/>
    <w:uiPriority w:val="99"/>
    <w:unhideWhenUsed/>
    <w:rsid w:val="00A14F32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D1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Fs01\kozos\K&#246;zponti%20Szab&#225;lyoz&#225;sok\Testulet-KT\2014\11.20\Napraforg&#243;%20u.%2019\P&#193;LY&#193;ZATI%20DOKUMENT&#193;CI&#21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Láng Orsolya</cp:lastModifiedBy>
  <cp:revision>5</cp:revision>
  <dcterms:created xsi:type="dcterms:W3CDTF">2014-11-12T08:57:00Z</dcterms:created>
  <dcterms:modified xsi:type="dcterms:W3CDTF">2014-11-12T14:23:00Z</dcterms:modified>
</cp:coreProperties>
</file>